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28D2" w:rsidRDefault="00B36CBE">
      <w:r>
        <w:rPr>
          <w:rFonts w:ascii="lato" w:hAnsi="lato"/>
          <w:color w:val="474747"/>
          <w:sz w:val="20"/>
          <w:szCs w:val="20"/>
          <w:shd w:val="clear" w:color="auto" w:fill="FFFFFF"/>
        </w:rPr>
        <w:t>Michael H. Diamant received a B.S. in Engineerin</w:t>
      </w:r>
      <w:bookmarkStart w:id="0" w:name="_GoBack"/>
      <w:bookmarkEnd w:id="0"/>
      <w:r>
        <w:rPr>
          <w:rFonts w:ascii="lato" w:hAnsi="lato"/>
          <w:color w:val="474747"/>
          <w:sz w:val="20"/>
          <w:szCs w:val="20"/>
          <w:shd w:val="clear" w:color="auto" w:fill="FFFFFF"/>
        </w:rPr>
        <w:t>g with high honors from Case Western Reserve University, and a J.D. cum laude from Harvard Law School. He is retired at the end of 2016 as partner, and remains Of Counsel at Taft Stettinius &amp; Hollister LLP in its Cleveland Ohio office to complete a few ongoing cases. As a partner he was a member of its Litigation and IP Practice Groups. He has litigated at all levels of state and federal courts in Ohio and around the country including the U.S. Supreme Court and tried numerous jury and non-jury cases both criminal and civil, including defending three of the National Guardsman in the Kent State Criminal Trial and multiple engineering and business disputes. With respect to technology he has tried cases in courts or before arbitration panels involving progressive die design, eddy current heat treating systems, tunneling machines, polymer patents, mine roof supports, as well as, a variety of business disputes. As a counselor to software and technology companies, Mr. Diamant was involved from the very beginning of the development of software law serving on an ABA subcommittee that developed the form software license agreement that is the basis for most software licenses today. He also was an active member of the Computer Law Association (now the ITech Law Association) from its beginnings in the 1980s. With his background in engineering and physics, he has advised companies and individuals in multiple technology businesses including software, hardware, polymers, complex machine and mechanical and electronic system design and manufacture, medical devices, metallurgy and materials, mining and geology, avionics, and optics.</w:t>
      </w:r>
      <w:r>
        <w:rPr>
          <w:rFonts w:ascii="lato" w:hAnsi="lato"/>
          <w:color w:val="474747"/>
          <w:sz w:val="20"/>
          <w:szCs w:val="20"/>
        </w:rPr>
        <w:br/>
      </w:r>
      <w:r>
        <w:rPr>
          <w:rFonts w:ascii="lato" w:hAnsi="lato"/>
          <w:color w:val="474747"/>
          <w:sz w:val="20"/>
          <w:szCs w:val="20"/>
        </w:rPr>
        <w:br/>
      </w:r>
      <w:r>
        <w:rPr>
          <w:rFonts w:ascii="lato" w:hAnsi="lato"/>
          <w:color w:val="474747"/>
          <w:sz w:val="20"/>
          <w:szCs w:val="20"/>
          <w:shd w:val="clear" w:color="auto" w:fill="FFFFFF"/>
        </w:rPr>
        <w:t>He serves as an arbitrator and mediator for the American Arbitration Association, the International Centre for Dispute Resolution, and the International Institute for Conflict Prevention &amp; Resolution, as well as for local federal and state courts. He focuses on engineering, technology and IP disputes as well as complex business disputes. He has been an arbitrator and mediator for over 40 years. As an arbitrator, he has decided cases around the country involving computer software (e.g. enterprise software implementation failures, license disputes, copyright), atomic layer deposition furnaces, aluminum reprocessing plants, cardiac and vascular implants, large enterprise software systems, co-generation facility rates, aircraft engine failure, construction contracts, and patent licenses and infringement, among other technical and business disputes. As a mediator, he assisted parties in resolving disputes involving computer software, trademarks and trade names, polymers, building design and construction, patents, technical specifications for mineral additives for coatings, software, as well as numerous business disputes. He is on the Large Complex Commercial Panel and the Technology/IP Panel of the American Arbitration Association and the International Centre for Dispute Resolution, the Panel of Distinguished Neutrals of the International Institute for Conflict Prevention and Resolution (CPR), the TECH List of the World’s Leading Technology Neutrals of the Silicon Valley Arbitration and Mediation Center, and serves on its Executive Committee. He is also a Fellow of the College of Commercial Arbitrators and a Fellow of the Chartered Institute of Arbitrators (London, England).</w:t>
      </w:r>
      <w:r>
        <w:rPr>
          <w:rFonts w:ascii="lato" w:hAnsi="lato"/>
          <w:color w:val="474747"/>
          <w:sz w:val="20"/>
          <w:szCs w:val="20"/>
        </w:rPr>
        <w:br/>
      </w:r>
      <w:r>
        <w:rPr>
          <w:rFonts w:ascii="lato" w:hAnsi="lato"/>
          <w:color w:val="474747"/>
          <w:sz w:val="20"/>
          <w:szCs w:val="20"/>
        </w:rPr>
        <w:br/>
      </w:r>
      <w:r>
        <w:rPr>
          <w:rFonts w:ascii="lato" w:hAnsi="lato"/>
          <w:color w:val="474747"/>
          <w:sz w:val="20"/>
          <w:szCs w:val="20"/>
          <w:shd w:val="clear" w:color="auto" w:fill="FFFFFF"/>
        </w:rPr>
        <w:t>He speaks locally and national, on arbitration and mediation programs including presentation for ALI/ABA, the College of Commercial Arbitrators, the Ohio State Bar Association, MERITAS, CPR, AAA/ ICDR, the ABA Dispute Resolution Section, the Ohio State Bar Association, and the Cleveland Metropolitan Bar Association, among other. He spoke around the country at the national ALI/ ABA Trademark Litigation Institutes on the effective use of arbitration and/or mediation in trademark and trade name cases.</w:t>
      </w:r>
      <w:r>
        <w:rPr>
          <w:rFonts w:ascii="lato" w:hAnsi="lato"/>
          <w:color w:val="474747"/>
          <w:sz w:val="20"/>
          <w:szCs w:val="20"/>
        </w:rPr>
        <w:br/>
      </w:r>
      <w:r>
        <w:rPr>
          <w:rFonts w:ascii="lato" w:hAnsi="lato"/>
          <w:color w:val="474747"/>
          <w:sz w:val="20"/>
          <w:szCs w:val="20"/>
        </w:rPr>
        <w:br/>
      </w:r>
      <w:r>
        <w:rPr>
          <w:rFonts w:ascii="lato" w:hAnsi="lato"/>
          <w:color w:val="474747"/>
          <w:sz w:val="20"/>
          <w:szCs w:val="20"/>
          <w:shd w:val="clear" w:color="auto" w:fill="FFFFFF"/>
        </w:rPr>
        <w:t>Recent publications include, ADR in Science and Technology Case, A Better Way, in the AAA’s Dispute Resolution Journal, Vol. 70, No. 1, p. 77, multiple articles in the Cleveland Metropolitan Bar Journal on Tech ADR, and is the lead co-author of a chapter, Arbitrating Technology Cases: Considerations for Business People and Advocates in a book recently published by the ABA titled, ADR Advocacy, Strategies, and Practices for IP and Technology Cases. Ed. Harrie Samaras, Chicago: ABA, Section of Intellectual Property Law, 2017. pp, 359-418.</w:t>
      </w:r>
      <w:r>
        <w:rPr>
          <w:rFonts w:ascii="lato" w:hAnsi="lato"/>
          <w:color w:val="474747"/>
          <w:sz w:val="20"/>
          <w:szCs w:val="20"/>
        </w:rPr>
        <w:br/>
      </w:r>
      <w:r>
        <w:rPr>
          <w:rFonts w:ascii="lato" w:hAnsi="lato"/>
          <w:color w:val="474747"/>
          <w:sz w:val="20"/>
          <w:szCs w:val="20"/>
        </w:rPr>
        <w:br/>
      </w:r>
      <w:r>
        <w:rPr>
          <w:rFonts w:ascii="lato" w:hAnsi="lato"/>
          <w:color w:val="474747"/>
          <w:sz w:val="20"/>
          <w:szCs w:val="20"/>
          <w:shd w:val="clear" w:color="auto" w:fill="FFFFFF"/>
        </w:rPr>
        <w:t>Mr. Diamant continues to both attend and present at numerous arbitration and mediation education and training programs for among, others the American Bar Association, Dispute Resolution Section, AAA/ICDR, CPR, the College of Commercial Arbitrators, and the Chartered Institute of Arbitrators, as well as for the Cleveland Bar Association, various Intellectual property organizations, as well as, for the Cleveland Metropolitan Bar Association.</w:t>
      </w:r>
      <w:r>
        <w:rPr>
          <w:rFonts w:ascii="lato" w:hAnsi="lato"/>
          <w:color w:val="474747"/>
          <w:sz w:val="20"/>
          <w:szCs w:val="20"/>
        </w:rPr>
        <w:br/>
      </w:r>
      <w:r>
        <w:rPr>
          <w:rFonts w:ascii="lato" w:hAnsi="lato"/>
          <w:color w:val="474747"/>
          <w:sz w:val="20"/>
          <w:szCs w:val="20"/>
        </w:rPr>
        <w:br/>
      </w:r>
      <w:r>
        <w:rPr>
          <w:rFonts w:ascii="lato" w:hAnsi="lato"/>
          <w:color w:val="474747"/>
          <w:sz w:val="20"/>
          <w:szCs w:val="20"/>
          <w:shd w:val="clear" w:color="auto" w:fill="FFFFFF"/>
        </w:rPr>
        <w:t>Mr. Diamant is a member of the Cleveland Metropolitan Bar Association, were he serves on the Courts Rules Committee, the Division of Fees Dispute Resolution Committee, and is a member of its ADR, Litigation, Data Security, and IP Sections. He previously served on its Board of Trustees and Grievance Committee and chaired its Judicial Selection Committee, its Courts Rules Committee and ADR Section. He is also a member of the Ohio State Bar Association and the American Bar Association (DR and Litigation Sections.)</w:t>
      </w:r>
      <w:r>
        <w:rPr>
          <w:rFonts w:ascii="lato" w:hAnsi="lato"/>
          <w:color w:val="474747"/>
          <w:sz w:val="20"/>
          <w:szCs w:val="20"/>
        </w:rPr>
        <w:br/>
      </w:r>
      <w:r>
        <w:rPr>
          <w:rFonts w:ascii="lato" w:hAnsi="lato"/>
          <w:color w:val="474747"/>
          <w:sz w:val="20"/>
          <w:szCs w:val="20"/>
        </w:rPr>
        <w:br/>
      </w:r>
      <w:r>
        <w:rPr>
          <w:rFonts w:ascii="lato" w:hAnsi="lato"/>
          <w:color w:val="474747"/>
          <w:sz w:val="20"/>
          <w:szCs w:val="20"/>
          <w:shd w:val="clear" w:color="auto" w:fill="FFFFFF"/>
        </w:rPr>
        <w:t xml:space="preserve">In addition to his involvement in Bar Association activities, Mr. Diamant continues to be involved in engineering and </w:t>
      </w:r>
      <w:r>
        <w:rPr>
          <w:rFonts w:ascii="lato" w:hAnsi="lato"/>
          <w:color w:val="474747"/>
          <w:sz w:val="20"/>
          <w:szCs w:val="20"/>
          <w:shd w:val="clear" w:color="auto" w:fill="FFFFFF"/>
        </w:rPr>
        <w:lastRenderedPageBreak/>
        <w:t>science Education at Case Western Reserve University (CWRU), where he served on its Visiting Committee for Undergraduate Education, was the founding Chair of the Visiting Committee for the Case School of Engineering, serving in that role for eight years, served as President of the Case Alumni , where he is a Life Member of its Board and currently serves on the Case Advisory Board, the Case Alumni Association Board, and the Case Alumni Foundation Board. He is a regular attendee and received multiple certificates from CWRU’s Origins Science Program. Each seven-week session focuses half on physics (astrophysics, particle physics, astronomy, and cosmology) and half on biology (evolution, genetics, and medicine.</w:t>
      </w:r>
      <w:r>
        <w:rPr>
          <w:rFonts w:ascii="lato" w:hAnsi="lato"/>
          <w:color w:val="474747"/>
          <w:sz w:val="20"/>
          <w:szCs w:val="20"/>
        </w:rPr>
        <w:br/>
      </w:r>
      <w:r>
        <w:rPr>
          <w:rFonts w:ascii="lato" w:hAnsi="lato"/>
          <w:color w:val="474747"/>
          <w:sz w:val="20"/>
          <w:szCs w:val="20"/>
        </w:rPr>
        <w:br/>
      </w:r>
      <w:r>
        <w:rPr>
          <w:rFonts w:ascii="lato" w:hAnsi="lato"/>
          <w:color w:val="474747"/>
          <w:sz w:val="20"/>
          <w:szCs w:val="20"/>
        </w:rPr>
        <w:br/>
      </w:r>
      <w:r>
        <w:rPr>
          <w:rFonts w:ascii="lato" w:hAnsi="lato"/>
          <w:color w:val="474747"/>
          <w:sz w:val="20"/>
          <w:szCs w:val="20"/>
        </w:rPr>
        <w:br/>
      </w:r>
      <w:r>
        <w:rPr>
          <w:rFonts w:ascii="lato" w:hAnsi="lato"/>
          <w:color w:val="474747"/>
          <w:sz w:val="20"/>
          <w:szCs w:val="20"/>
          <w:shd w:val="clear" w:color="auto" w:fill="FFFFFF"/>
        </w:rPr>
        <w:t>Representative Arbitrations as Arbitrator:</w:t>
      </w:r>
      <w:r>
        <w:rPr>
          <w:rFonts w:ascii="lato" w:hAnsi="lato"/>
          <w:color w:val="474747"/>
          <w:sz w:val="20"/>
          <w:szCs w:val="20"/>
        </w:rPr>
        <w:br/>
      </w:r>
      <w:r>
        <w:rPr>
          <w:rFonts w:ascii="lato" w:hAnsi="lato"/>
          <w:color w:val="474747"/>
          <w:sz w:val="20"/>
          <w:szCs w:val="20"/>
        </w:rPr>
        <w:br/>
      </w:r>
      <w:r>
        <w:rPr>
          <w:rFonts w:ascii="lato" w:hAnsi="lato"/>
          <w:color w:val="474747"/>
          <w:sz w:val="20"/>
          <w:szCs w:val="20"/>
          <w:shd w:val="clear" w:color="auto" w:fill="FFFFFF"/>
        </w:rPr>
        <w:t>Contract dispute between owner of a cogeneration facility and a power transmission company. (sole arbitrator)</w:t>
      </w:r>
      <w:r>
        <w:rPr>
          <w:rFonts w:ascii="lato" w:hAnsi="lato"/>
          <w:color w:val="474747"/>
          <w:sz w:val="20"/>
          <w:szCs w:val="20"/>
        </w:rPr>
        <w:br/>
      </w:r>
      <w:r>
        <w:rPr>
          <w:rFonts w:ascii="lato" w:hAnsi="lato"/>
          <w:color w:val="474747"/>
          <w:sz w:val="20"/>
          <w:szCs w:val="20"/>
        </w:rPr>
        <w:br/>
      </w:r>
      <w:r>
        <w:rPr>
          <w:rFonts w:ascii="lato" w:hAnsi="lato"/>
          <w:color w:val="474747"/>
          <w:sz w:val="20"/>
          <w:szCs w:val="20"/>
          <w:shd w:val="clear" w:color="auto" w:fill="FFFFFF"/>
        </w:rPr>
        <w:t>Aircraft inflight engine failure on transcontinental major airline damage claim. (chair)</w:t>
      </w:r>
      <w:r>
        <w:rPr>
          <w:rFonts w:ascii="lato" w:hAnsi="lato"/>
          <w:color w:val="474747"/>
          <w:sz w:val="20"/>
          <w:szCs w:val="20"/>
        </w:rPr>
        <w:br/>
      </w:r>
      <w:r>
        <w:rPr>
          <w:rFonts w:ascii="lato" w:hAnsi="lato"/>
          <w:color w:val="474747"/>
          <w:sz w:val="20"/>
          <w:szCs w:val="20"/>
        </w:rPr>
        <w:br/>
      </w:r>
      <w:r>
        <w:rPr>
          <w:rFonts w:ascii="lato" w:hAnsi="lato"/>
          <w:color w:val="474747"/>
          <w:sz w:val="20"/>
          <w:szCs w:val="20"/>
          <w:shd w:val="clear" w:color="auto" w:fill="FFFFFF"/>
        </w:rPr>
        <w:t>Alleged defects in enterprise software for an internet bank and resulting in failure to pay for the software. (chair)</w:t>
      </w:r>
      <w:r>
        <w:rPr>
          <w:rFonts w:ascii="lato" w:hAnsi="lato"/>
          <w:color w:val="474747"/>
          <w:sz w:val="20"/>
          <w:szCs w:val="20"/>
        </w:rPr>
        <w:br/>
      </w:r>
      <w:r>
        <w:rPr>
          <w:rFonts w:ascii="lato" w:hAnsi="lato"/>
          <w:color w:val="474747"/>
          <w:sz w:val="20"/>
          <w:szCs w:val="20"/>
        </w:rPr>
        <w:br/>
      </w:r>
      <w:r>
        <w:rPr>
          <w:rFonts w:ascii="lato" w:hAnsi="lato"/>
          <w:color w:val="474747"/>
          <w:sz w:val="20"/>
          <w:szCs w:val="20"/>
          <w:shd w:val="clear" w:color="auto" w:fill="FFFFFF"/>
        </w:rPr>
        <w:t>Patent license dispute molecular deposition chip furnaces (international). (chair)</w:t>
      </w:r>
      <w:r>
        <w:rPr>
          <w:rFonts w:ascii="lato" w:hAnsi="lato"/>
          <w:color w:val="474747"/>
          <w:sz w:val="20"/>
          <w:szCs w:val="20"/>
        </w:rPr>
        <w:br/>
      </w:r>
      <w:r>
        <w:rPr>
          <w:rFonts w:ascii="lato" w:hAnsi="lato"/>
          <w:color w:val="474747"/>
          <w:sz w:val="20"/>
          <w:szCs w:val="20"/>
        </w:rPr>
        <w:br/>
      </w:r>
      <w:r>
        <w:rPr>
          <w:rFonts w:ascii="lato" w:hAnsi="lato"/>
          <w:color w:val="474747"/>
          <w:sz w:val="20"/>
          <w:szCs w:val="20"/>
          <w:shd w:val="clear" w:color="auto" w:fill="FFFFFF"/>
        </w:rPr>
        <w:t>Contract dispute regarding aluminum reprocessing and alleged failure to maintain process and production efficiency. (chair)</w:t>
      </w:r>
      <w:r>
        <w:rPr>
          <w:rFonts w:ascii="lato" w:hAnsi="lato"/>
          <w:color w:val="474747"/>
          <w:sz w:val="20"/>
          <w:szCs w:val="20"/>
        </w:rPr>
        <w:br/>
      </w:r>
      <w:r>
        <w:rPr>
          <w:rFonts w:ascii="lato" w:hAnsi="lato"/>
          <w:color w:val="474747"/>
          <w:sz w:val="20"/>
          <w:szCs w:val="20"/>
        </w:rPr>
        <w:br/>
      </w:r>
      <w:r>
        <w:rPr>
          <w:rFonts w:ascii="lato" w:hAnsi="lato"/>
          <w:color w:val="474747"/>
          <w:sz w:val="20"/>
          <w:szCs w:val="20"/>
          <w:shd w:val="clear" w:color="auto" w:fill="FFFFFF"/>
        </w:rPr>
        <w:t>Electricity rate dispute based on contract between co-generation facility and utility. (sole arbitrator)</w:t>
      </w:r>
      <w:r>
        <w:rPr>
          <w:rFonts w:ascii="lato" w:hAnsi="lato"/>
          <w:color w:val="474747"/>
          <w:sz w:val="20"/>
          <w:szCs w:val="20"/>
        </w:rPr>
        <w:br/>
      </w:r>
      <w:r>
        <w:rPr>
          <w:rFonts w:ascii="lato" w:hAnsi="lato"/>
          <w:color w:val="474747"/>
          <w:sz w:val="20"/>
          <w:szCs w:val="20"/>
        </w:rPr>
        <w:br/>
      </w:r>
      <w:r>
        <w:rPr>
          <w:rFonts w:ascii="lato" w:hAnsi="lato"/>
          <w:color w:val="474747"/>
          <w:sz w:val="20"/>
          <w:szCs w:val="20"/>
          <w:shd w:val="clear" w:color="auto" w:fill="FFFFFF"/>
        </w:rPr>
        <w:t>Electricity rate and right to meter information between electric generation utility and regional power distributor. (panelist)</w:t>
      </w:r>
      <w:r>
        <w:rPr>
          <w:rFonts w:ascii="lato" w:hAnsi="lato"/>
          <w:color w:val="474747"/>
          <w:sz w:val="20"/>
          <w:szCs w:val="20"/>
        </w:rPr>
        <w:br/>
      </w:r>
      <w:r>
        <w:rPr>
          <w:rFonts w:ascii="lato" w:hAnsi="lato"/>
          <w:color w:val="474747"/>
          <w:sz w:val="20"/>
          <w:szCs w:val="20"/>
        </w:rPr>
        <w:br/>
      </w:r>
      <w:r>
        <w:rPr>
          <w:rFonts w:ascii="lato" w:hAnsi="lato"/>
          <w:color w:val="474747"/>
          <w:sz w:val="20"/>
          <w:szCs w:val="20"/>
          <w:shd w:val="clear" w:color="auto" w:fill="FFFFFF"/>
        </w:rPr>
        <w:t>Enterprise software installation failure for a food distributor. (chair)</w:t>
      </w:r>
      <w:r>
        <w:rPr>
          <w:rFonts w:ascii="lato" w:hAnsi="lato"/>
          <w:color w:val="474747"/>
          <w:sz w:val="20"/>
          <w:szCs w:val="20"/>
        </w:rPr>
        <w:br/>
      </w:r>
      <w:r>
        <w:rPr>
          <w:rFonts w:ascii="lato" w:hAnsi="lato"/>
          <w:color w:val="474747"/>
          <w:sz w:val="20"/>
          <w:szCs w:val="20"/>
        </w:rPr>
        <w:br/>
      </w:r>
      <w:r>
        <w:rPr>
          <w:rFonts w:ascii="lato" w:hAnsi="lato"/>
          <w:color w:val="474747"/>
          <w:sz w:val="20"/>
          <w:szCs w:val="20"/>
          <w:shd w:val="clear" w:color="auto" w:fill="FFFFFF"/>
        </w:rPr>
        <w:t>Enterprise software installation failure for international construction materials manufacturer. (chair)</w:t>
      </w:r>
      <w:r>
        <w:rPr>
          <w:rFonts w:ascii="lato" w:hAnsi="lato"/>
          <w:color w:val="474747"/>
          <w:sz w:val="20"/>
          <w:szCs w:val="20"/>
        </w:rPr>
        <w:br/>
      </w:r>
      <w:r>
        <w:rPr>
          <w:rFonts w:ascii="lato" w:hAnsi="lato"/>
          <w:color w:val="474747"/>
          <w:sz w:val="20"/>
          <w:szCs w:val="20"/>
        </w:rPr>
        <w:br/>
      </w:r>
      <w:r>
        <w:rPr>
          <w:rFonts w:ascii="lato" w:hAnsi="lato"/>
          <w:color w:val="474747"/>
          <w:sz w:val="20"/>
          <w:szCs w:val="20"/>
          <w:shd w:val="clear" w:color="auto" w:fill="FFFFFF"/>
        </w:rPr>
        <w:t>Contract dispute between international medical device manufacturer and research company regarding contract to develop porcine heart valve and vascular grafts. (chair)</w:t>
      </w:r>
      <w:r>
        <w:rPr>
          <w:rFonts w:ascii="lato" w:hAnsi="lato"/>
          <w:color w:val="474747"/>
          <w:sz w:val="20"/>
          <w:szCs w:val="20"/>
        </w:rPr>
        <w:br/>
      </w:r>
      <w:r>
        <w:rPr>
          <w:rFonts w:ascii="lato" w:hAnsi="lato"/>
          <w:color w:val="474747"/>
          <w:sz w:val="20"/>
          <w:szCs w:val="20"/>
        </w:rPr>
        <w:br/>
      </w:r>
      <w:r>
        <w:rPr>
          <w:rFonts w:ascii="lato" w:hAnsi="lato"/>
          <w:color w:val="474747"/>
          <w:sz w:val="20"/>
          <w:szCs w:val="20"/>
          <w:shd w:val="clear" w:color="auto" w:fill="FFFFFF"/>
        </w:rPr>
        <w:t>Performance and copyright infringement dispute between chain of automobile dealerships and national software developer. (sole arbitrator)</w:t>
      </w:r>
      <w:r>
        <w:rPr>
          <w:rFonts w:ascii="lato" w:hAnsi="lato"/>
          <w:color w:val="474747"/>
          <w:sz w:val="20"/>
          <w:szCs w:val="20"/>
        </w:rPr>
        <w:br/>
      </w:r>
      <w:r>
        <w:rPr>
          <w:rFonts w:ascii="lato" w:hAnsi="lato"/>
          <w:color w:val="474747"/>
          <w:sz w:val="20"/>
          <w:szCs w:val="20"/>
        </w:rPr>
        <w:br/>
      </w:r>
      <w:r>
        <w:rPr>
          <w:rFonts w:ascii="lato" w:hAnsi="lato"/>
          <w:color w:val="474747"/>
          <w:sz w:val="20"/>
          <w:szCs w:val="20"/>
          <w:shd w:val="clear" w:color="auto" w:fill="FFFFFF"/>
        </w:rPr>
        <w:t>Patent license and infringement dispute regarding computational methodology in licensed software. (panelist)</w:t>
      </w:r>
      <w:r>
        <w:rPr>
          <w:rFonts w:ascii="lato" w:hAnsi="lato"/>
          <w:color w:val="474747"/>
          <w:sz w:val="20"/>
          <w:szCs w:val="20"/>
        </w:rPr>
        <w:br/>
      </w:r>
      <w:r>
        <w:rPr>
          <w:rFonts w:ascii="lato" w:hAnsi="lato"/>
          <w:color w:val="474747"/>
          <w:sz w:val="20"/>
          <w:szCs w:val="20"/>
        </w:rPr>
        <w:br/>
      </w:r>
      <w:r>
        <w:rPr>
          <w:rFonts w:ascii="lato" w:hAnsi="lato"/>
          <w:color w:val="474747"/>
          <w:sz w:val="20"/>
          <w:szCs w:val="20"/>
          <w:shd w:val="clear" w:color="auto" w:fill="FFFFFF"/>
        </w:rPr>
        <w:t>Contract dispute regarding quality of mined limestone for use in a flow-bed boiler. (panelist)</w:t>
      </w:r>
      <w:r>
        <w:rPr>
          <w:rFonts w:ascii="lato" w:hAnsi="lato"/>
          <w:color w:val="474747"/>
          <w:sz w:val="20"/>
          <w:szCs w:val="20"/>
        </w:rPr>
        <w:br/>
      </w:r>
      <w:r>
        <w:rPr>
          <w:rFonts w:ascii="lato" w:hAnsi="lato"/>
          <w:color w:val="474747"/>
          <w:sz w:val="20"/>
          <w:szCs w:val="20"/>
        </w:rPr>
        <w:br/>
      </w:r>
      <w:r>
        <w:rPr>
          <w:rFonts w:ascii="lato" w:hAnsi="lato"/>
          <w:color w:val="474747"/>
          <w:sz w:val="20"/>
          <w:szCs w:val="20"/>
          <w:shd w:val="clear" w:color="auto" w:fill="FFFFFF"/>
        </w:rPr>
        <w:t>Design and performance dispute regarding contract for design and construct of a large web printer system. (panelist)</w:t>
      </w:r>
      <w:r>
        <w:rPr>
          <w:rFonts w:ascii="lato" w:hAnsi="lato"/>
          <w:color w:val="474747"/>
          <w:sz w:val="20"/>
          <w:szCs w:val="20"/>
        </w:rPr>
        <w:br/>
      </w:r>
      <w:r>
        <w:rPr>
          <w:rFonts w:ascii="lato" w:hAnsi="lato"/>
          <w:color w:val="474747"/>
          <w:sz w:val="20"/>
          <w:szCs w:val="20"/>
        </w:rPr>
        <w:br/>
      </w:r>
      <w:r>
        <w:rPr>
          <w:rFonts w:ascii="lato" w:hAnsi="lato"/>
          <w:color w:val="474747"/>
          <w:sz w:val="20"/>
          <w:szCs w:val="20"/>
          <w:shd w:val="clear" w:color="auto" w:fill="FFFFFF"/>
        </w:rPr>
        <w:t>Contract dispute between international high-end automobile manufacturer and local dealership. (panelist)</w:t>
      </w:r>
      <w:r>
        <w:rPr>
          <w:rFonts w:ascii="lato" w:hAnsi="lato"/>
          <w:color w:val="474747"/>
          <w:sz w:val="20"/>
          <w:szCs w:val="20"/>
        </w:rPr>
        <w:br/>
      </w:r>
      <w:r>
        <w:rPr>
          <w:rFonts w:ascii="lato" w:hAnsi="lato"/>
          <w:color w:val="474747"/>
          <w:sz w:val="20"/>
          <w:szCs w:val="20"/>
        </w:rPr>
        <w:br/>
      </w:r>
      <w:r>
        <w:rPr>
          <w:rFonts w:ascii="lato" w:hAnsi="lato"/>
          <w:color w:val="474747"/>
          <w:sz w:val="20"/>
          <w:szCs w:val="20"/>
          <w:shd w:val="clear" w:color="auto" w:fill="FFFFFF"/>
        </w:rPr>
        <w:t>Construction dispute regarding industrial park construction and design. (chair)</w:t>
      </w:r>
      <w:r>
        <w:rPr>
          <w:rFonts w:ascii="lato" w:hAnsi="lato"/>
          <w:color w:val="474747"/>
          <w:sz w:val="20"/>
          <w:szCs w:val="20"/>
        </w:rPr>
        <w:br/>
      </w:r>
      <w:r>
        <w:rPr>
          <w:rFonts w:ascii="lato" w:hAnsi="lato"/>
          <w:color w:val="474747"/>
          <w:sz w:val="20"/>
          <w:szCs w:val="20"/>
        </w:rPr>
        <w:br/>
      </w:r>
      <w:r>
        <w:rPr>
          <w:rFonts w:ascii="lato" w:hAnsi="lato"/>
          <w:color w:val="474747"/>
          <w:sz w:val="20"/>
          <w:szCs w:val="20"/>
        </w:rPr>
        <w:br/>
      </w:r>
      <w:r>
        <w:rPr>
          <w:rFonts w:ascii="lato" w:hAnsi="lato"/>
          <w:color w:val="474747"/>
          <w:sz w:val="20"/>
          <w:szCs w:val="20"/>
        </w:rPr>
        <w:br/>
      </w:r>
      <w:r>
        <w:rPr>
          <w:rFonts w:ascii="lato" w:hAnsi="lato"/>
          <w:color w:val="474747"/>
          <w:sz w:val="20"/>
          <w:szCs w:val="20"/>
          <w:shd w:val="clear" w:color="auto" w:fill="FFFFFF"/>
        </w:rPr>
        <w:t>Representative Mediations as Mediator:</w:t>
      </w:r>
      <w:r>
        <w:rPr>
          <w:rFonts w:ascii="lato" w:hAnsi="lato"/>
          <w:color w:val="474747"/>
          <w:sz w:val="20"/>
          <w:szCs w:val="20"/>
        </w:rPr>
        <w:br/>
      </w:r>
      <w:r>
        <w:rPr>
          <w:rFonts w:ascii="lato" w:hAnsi="lato"/>
          <w:color w:val="474747"/>
          <w:sz w:val="20"/>
          <w:szCs w:val="20"/>
        </w:rPr>
        <w:br/>
      </w:r>
      <w:r>
        <w:rPr>
          <w:rFonts w:ascii="lato" w:hAnsi="lato"/>
          <w:color w:val="474747"/>
          <w:sz w:val="20"/>
          <w:szCs w:val="20"/>
          <w:shd w:val="clear" w:color="auto" w:fill="FFFFFF"/>
        </w:rPr>
        <w:t>Contract dispute between international database software system developer and large user.</w:t>
      </w:r>
      <w:r>
        <w:rPr>
          <w:rFonts w:ascii="lato" w:hAnsi="lato"/>
          <w:color w:val="474747"/>
          <w:sz w:val="20"/>
          <w:szCs w:val="20"/>
        </w:rPr>
        <w:br/>
      </w:r>
      <w:r>
        <w:rPr>
          <w:rFonts w:ascii="lato" w:hAnsi="lato"/>
          <w:color w:val="474747"/>
          <w:sz w:val="20"/>
          <w:szCs w:val="20"/>
        </w:rPr>
        <w:br/>
      </w:r>
      <w:r>
        <w:rPr>
          <w:rFonts w:ascii="lato" w:hAnsi="lato"/>
          <w:color w:val="474747"/>
          <w:sz w:val="20"/>
          <w:szCs w:val="20"/>
          <w:shd w:val="clear" w:color="auto" w:fill="FFFFFF"/>
        </w:rPr>
        <w:t>Enterprise software implementation between large national greeting card company and national software developer.</w:t>
      </w:r>
      <w:r>
        <w:rPr>
          <w:rFonts w:ascii="lato" w:hAnsi="lato"/>
          <w:color w:val="474747"/>
          <w:sz w:val="20"/>
          <w:szCs w:val="20"/>
        </w:rPr>
        <w:br/>
      </w:r>
      <w:r>
        <w:rPr>
          <w:rFonts w:ascii="lato" w:hAnsi="lato"/>
          <w:color w:val="474747"/>
          <w:sz w:val="20"/>
          <w:szCs w:val="20"/>
        </w:rPr>
        <w:br/>
      </w:r>
      <w:r>
        <w:rPr>
          <w:rFonts w:ascii="lato" w:hAnsi="lato"/>
          <w:color w:val="474747"/>
          <w:sz w:val="20"/>
          <w:szCs w:val="20"/>
          <w:shd w:val="clear" w:color="auto" w:fill="FFFFFF"/>
        </w:rPr>
        <w:lastRenderedPageBreak/>
        <w:t>Contract dispute regarding quality, including clarifying specifications as to allowed impurities and particle size and developing methods of testing for mined materials for additive to industrial coatings.</w:t>
      </w:r>
      <w:r>
        <w:rPr>
          <w:rFonts w:ascii="lato" w:hAnsi="lato"/>
          <w:color w:val="474747"/>
          <w:sz w:val="20"/>
          <w:szCs w:val="20"/>
        </w:rPr>
        <w:br/>
      </w:r>
      <w:r>
        <w:rPr>
          <w:rFonts w:ascii="lato" w:hAnsi="lato"/>
          <w:color w:val="474747"/>
          <w:sz w:val="20"/>
          <w:szCs w:val="20"/>
        </w:rPr>
        <w:br/>
      </w:r>
      <w:r>
        <w:rPr>
          <w:rFonts w:ascii="lato" w:hAnsi="lato"/>
          <w:color w:val="474747"/>
          <w:sz w:val="20"/>
          <w:szCs w:val="20"/>
          <w:shd w:val="clear" w:color="auto" w:fill="FFFFFF"/>
        </w:rPr>
        <w:t>Contract dispute regarding polymer materials quality.</w:t>
      </w:r>
      <w:r>
        <w:rPr>
          <w:rFonts w:ascii="lato" w:hAnsi="lato"/>
          <w:color w:val="474747"/>
          <w:sz w:val="20"/>
          <w:szCs w:val="20"/>
        </w:rPr>
        <w:br/>
      </w:r>
      <w:r>
        <w:rPr>
          <w:rFonts w:ascii="lato" w:hAnsi="lato"/>
          <w:color w:val="474747"/>
          <w:sz w:val="20"/>
          <w:szCs w:val="20"/>
        </w:rPr>
        <w:br/>
      </w:r>
      <w:r>
        <w:rPr>
          <w:rFonts w:ascii="lato" w:hAnsi="lato"/>
          <w:color w:val="474747"/>
          <w:sz w:val="20"/>
          <w:szCs w:val="20"/>
          <w:shd w:val="clear" w:color="auto" w:fill="FFFFFF"/>
        </w:rPr>
        <w:t>Construction dispute regarding leaking roof in downtown apartment complex.</w:t>
      </w:r>
      <w:r>
        <w:rPr>
          <w:rFonts w:ascii="lato" w:hAnsi="lato"/>
          <w:color w:val="474747"/>
          <w:sz w:val="20"/>
          <w:szCs w:val="20"/>
        </w:rPr>
        <w:br/>
      </w:r>
      <w:r>
        <w:rPr>
          <w:rFonts w:ascii="lato" w:hAnsi="lato"/>
          <w:color w:val="474747"/>
          <w:sz w:val="20"/>
          <w:szCs w:val="20"/>
        </w:rPr>
        <w:br/>
      </w:r>
      <w:r>
        <w:rPr>
          <w:rFonts w:ascii="lato" w:hAnsi="lato"/>
          <w:color w:val="474747"/>
          <w:sz w:val="20"/>
          <w:szCs w:val="20"/>
          <w:shd w:val="clear" w:color="auto" w:fill="FFFFFF"/>
        </w:rPr>
        <w:t>Trademark dispute regarding color of construction membranes between international chemical and construction materials company and a new startup.</w:t>
      </w:r>
      <w:r>
        <w:rPr>
          <w:rFonts w:ascii="lato" w:hAnsi="lato"/>
          <w:color w:val="474747"/>
          <w:sz w:val="20"/>
          <w:szCs w:val="20"/>
        </w:rPr>
        <w:br/>
      </w:r>
      <w:r>
        <w:rPr>
          <w:rFonts w:ascii="lato" w:hAnsi="lato"/>
          <w:color w:val="474747"/>
          <w:sz w:val="20"/>
          <w:szCs w:val="20"/>
        </w:rPr>
        <w:br/>
      </w:r>
      <w:r>
        <w:rPr>
          <w:rFonts w:ascii="lato" w:hAnsi="lato"/>
          <w:color w:val="474747"/>
          <w:sz w:val="20"/>
          <w:szCs w:val="20"/>
          <w:shd w:val="clear" w:color="auto" w:fill="FFFFFF"/>
        </w:rPr>
        <w:t>Dispute between national trucking company and purchaser of hundreds of truckloads of salvaged goods.</w:t>
      </w:r>
      <w:r>
        <w:rPr>
          <w:rFonts w:ascii="lato" w:hAnsi="lato"/>
          <w:color w:val="474747"/>
          <w:sz w:val="20"/>
          <w:szCs w:val="20"/>
        </w:rPr>
        <w:br/>
      </w:r>
      <w:r>
        <w:rPr>
          <w:rFonts w:ascii="lato" w:hAnsi="lato"/>
          <w:color w:val="474747"/>
          <w:sz w:val="20"/>
          <w:szCs w:val="20"/>
        </w:rPr>
        <w:br/>
      </w:r>
      <w:r>
        <w:rPr>
          <w:rFonts w:ascii="lato" w:hAnsi="lato"/>
          <w:color w:val="474747"/>
          <w:sz w:val="20"/>
          <w:szCs w:val="20"/>
          <w:shd w:val="clear" w:color="auto" w:fill="FFFFFF"/>
        </w:rPr>
        <w:t>Dispute between architects as to copyright and attribution rights to the design of large-scale award winning urban redevelopment.</w:t>
      </w:r>
      <w:r>
        <w:rPr>
          <w:rFonts w:ascii="lato" w:hAnsi="lato"/>
          <w:color w:val="474747"/>
          <w:sz w:val="20"/>
          <w:szCs w:val="20"/>
        </w:rPr>
        <w:br/>
      </w:r>
      <w:r>
        <w:rPr>
          <w:rFonts w:ascii="lato" w:hAnsi="lato"/>
          <w:color w:val="474747"/>
          <w:sz w:val="20"/>
          <w:szCs w:val="20"/>
        </w:rPr>
        <w:br/>
      </w:r>
      <w:r>
        <w:rPr>
          <w:rFonts w:ascii="lato" w:hAnsi="lato"/>
          <w:color w:val="474747"/>
          <w:sz w:val="20"/>
          <w:szCs w:val="20"/>
          <w:shd w:val="clear" w:color="auto" w:fill="FFFFFF"/>
        </w:rPr>
        <w:t>Multiparty commercial dispute regarding quality and delivery of construction salvage materials. Service mark dispute between two national executive search and placement agencies.</w:t>
      </w:r>
      <w:r>
        <w:rPr>
          <w:rFonts w:ascii="lato" w:hAnsi="lato"/>
          <w:color w:val="474747"/>
          <w:sz w:val="20"/>
          <w:szCs w:val="20"/>
        </w:rPr>
        <w:br/>
      </w:r>
      <w:r>
        <w:rPr>
          <w:rFonts w:ascii="lato" w:hAnsi="lato"/>
          <w:color w:val="474747"/>
          <w:sz w:val="20"/>
          <w:szCs w:val="20"/>
        </w:rPr>
        <w:br/>
      </w:r>
      <w:r>
        <w:rPr>
          <w:rFonts w:ascii="lato" w:hAnsi="lato"/>
          <w:color w:val="474747"/>
          <w:sz w:val="20"/>
          <w:szCs w:val="20"/>
        </w:rPr>
        <w:br/>
      </w:r>
      <w:r>
        <w:rPr>
          <w:rFonts w:ascii="lato" w:hAnsi="lato"/>
          <w:color w:val="474747"/>
          <w:sz w:val="20"/>
          <w:szCs w:val="20"/>
        </w:rPr>
        <w:br/>
      </w:r>
      <w:r>
        <w:rPr>
          <w:rFonts w:ascii="lato" w:hAnsi="lato"/>
          <w:color w:val="474747"/>
          <w:sz w:val="20"/>
          <w:szCs w:val="20"/>
          <w:shd w:val="clear" w:color="auto" w:fill="FFFFFF"/>
        </w:rPr>
        <w:t>Representative Litigations and Arbitrations as Advocate:</w:t>
      </w:r>
      <w:r>
        <w:rPr>
          <w:rFonts w:ascii="lato" w:hAnsi="lato"/>
          <w:color w:val="474747"/>
          <w:sz w:val="20"/>
          <w:szCs w:val="20"/>
        </w:rPr>
        <w:br/>
      </w:r>
      <w:r>
        <w:rPr>
          <w:rFonts w:ascii="lato" w:hAnsi="lato"/>
          <w:color w:val="474747"/>
          <w:sz w:val="20"/>
          <w:szCs w:val="20"/>
        </w:rPr>
        <w:br/>
      </w:r>
      <w:r>
        <w:rPr>
          <w:rFonts w:ascii="lato" w:hAnsi="lato"/>
          <w:color w:val="474747"/>
          <w:sz w:val="20"/>
          <w:szCs w:val="20"/>
          <w:shd w:val="clear" w:color="auto" w:fill="FFFFFF"/>
        </w:rPr>
        <w:t>Represented major defense contractor defending arbitration claim regarding infrared filters used in periscopes installed in military vehicles.</w:t>
      </w:r>
      <w:r>
        <w:rPr>
          <w:rFonts w:ascii="lato" w:hAnsi="lato"/>
          <w:color w:val="474747"/>
          <w:sz w:val="20"/>
          <w:szCs w:val="20"/>
        </w:rPr>
        <w:br/>
      </w:r>
      <w:r>
        <w:rPr>
          <w:rFonts w:ascii="lato" w:hAnsi="lato"/>
          <w:color w:val="474747"/>
          <w:sz w:val="20"/>
          <w:szCs w:val="20"/>
        </w:rPr>
        <w:br/>
      </w:r>
      <w:r>
        <w:rPr>
          <w:rFonts w:ascii="lato" w:hAnsi="lato"/>
          <w:color w:val="474747"/>
          <w:sz w:val="20"/>
          <w:szCs w:val="20"/>
          <w:shd w:val="clear" w:color="auto" w:fill="FFFFFF"/>
        </w:rPr>
        <w:t>Represented major defense contractor in litigation regarding dispute as to design and ownership of computerized avionics system.</w:t>
      </w:r>
      <w:r>
        <w:rPr>
          <w:rFonts w:ascii="lato" w:hAnsi="lato"/>
          <w:color w:val="474747"/>
          <w:sz w:val="20"/>
          <w:szCs w:val="20"/>
        </w:rPr>
        <w:br/>
      </w:r>
      <w:r>
        <w:rPr>
          <w:rFonts w:ascii="lato" w:hAnsi="lato"/>
          <w:color w:val="474747"/>
          <w:sz w:val="20"/>
          <w:szCs w:val="20"/>
        </w:rPr>
        <w:br/>
      </w:r>
      <w:r>
        <w:rPr>
          <w:rFonts w:ascii="lato" w:hAnsi="lato"/>
          <w:color w:val="474747"/>
          <w:sz w:val="20"/>
          <w:szCs w:val="20"/>
          <w:shd w:val="clear" w:color="auto" w:fill="FFFFFF"/>
        </w:rPr>
        <w:t>Represented multiple software developers in arbitrations regarding software compliance with contract and specifications.</w:t>
      </w:r>
      <w:r>
        <w:rPr>
          <w:rFonts w:ascii="lato" w:hAnsi="lato"/>
          <w:color w:val="474747"/>
          <w:sz w:val="20"/>
          <w:szCs w:val="20"/>
        </w:rPr>
        <w:br/>
      </w:r>
      <w:r>
        <w:rPr>
          <w:rFonts w:ascii="lato" w:hAnsi="lato"/>
          <w:color w:val="474747"/>
          <w:sz w:val="20"/>
          <w:szCs w:val="20"/>
        </w:rPr>
        <w:br/>
      </w:r>
      <w:r>
        <w:rPr>
          <w:rFonts w:ascii="lato" w:hAnsi="lato"/>
          <w:color w:val="474747"/>
          <w:sz w:val="20"/>
          <w:szCs w:val="20"/>
          <w:shd w:val="clear" w:color="auto" w:fill="FFFFFF"/>
        </w:rPr>
        <w:t>Jury trials regarding design and operation of complex progressive dies for the automobile industry.</w:t>
      </w:r>
      <w:r>
        <w:rPr>
          <w:rFonts w:ascii="lato" w:hAnsi="lato"/>
          <w:color w:val="474747"/>
          <w:sz w:val="20"/>
          <w:szCs w:val="20"/>
        </w:rPr>
        <w:br/>
      </w:r>
      <w:r>
        <w:rPr>
          <w:rFonts w:ascii="lato" w:hAnsi="lato"/>
          <w:color w:val="474747"/>
          <w:sz w:val="20"/>
          <w:szCs w:val="20"/>
        </w:rPr>
        <w:br/>
      </w:r>
      <w:r>
        <w:rPr>
          <w:rFonts w:ascii="lato" w:hAnsi="lato"/>
          <w:color w:val="474747"/>
          <w:sz w:val="20"/>
          <w:szCs w:val="20"/>
          <w:shd w:val="clear" w:color="auto" w:fill="FFFFFF"/>
        </w:rPr>
        <w:t>Trial regarding the design and operation of eddy current metal treatment system</w:t>
      </w:r>
      <w:r>
        <w:rPr>
          <w:rFonts w:ascii="lato" w:hAnsi="lato"/>
          <w:color w:val="474747"/>
          <w:sz w:val="20"/>
          <w:szCs w:val="20"/>
        </w:rPr>
        <w:br/>
      </w:r>
      <w:r>
        <w:rPr>
          <w:rFonts w:ascii="lato" w:hAnsi="lato"/>
          <w:color w:val="474747"/>
          <w:sz w:val="20"/>
          <w:szCs w:val="20"/>
        </w:rPr>
        <w:br/>
      </w:r>
      <w:r>
        <w:rPr>
          <w:rFonts w:ascii="lato" w:hAnsi="lato"/>
          <w:color w:val="474747"/>
          <w:sz w:val="20"/>
          <w:szCs w:val="20"/>
          <w:shd w:val="clear" w:color="auto" w:fill="FFFFFF"/>
        </w:rPr>
        <w:t>Arbitration regarding operation and design of tunnel boring system.</w:t>
      </w:r>
      <w:r>
        <w:rPr>
          <w:rFonts w:ascii="lato" w:hAnsi="lato"/>
          <w:color w:val="474747"/>
          <w:sz w:val="20"/>
          <w:szCs w:val="20"/>
        </w:rPr>
        <w:br/>
      </w:r>
      <w:r>
        <w:rPr>
          <w:rFonts w:ascii="lato" w:hAnsi="lato"/>
          <w:color w:val="474747"/>
          <w:sz w:val="20"/>
          <w:szCs w:val="20"/>
        </w:rPr>
        <w:br/>
      </w:r>
      <w:r>
        <w:rPr>
          <w:rFonts w:ascii="lato" w:hAnsi="lato"/>
          <w:color w:val="474747"/>
          <w:sz w:val="20"/>
          <w:szCs w:val="20"/>
          <w:shd w:val="clear" w:color="auto" w:fill="FFFFFF"/>
        </w:rPr>
        <w:t>Arbitration regarding operation and design of pipe jacking equipment.</w:t>
      </w:r>
      <w:r>
        <w:rPr>
          <w:rFonts w:ascii="lato" w:hAnsi="lato"/>
          <w:color w:val="474747"/>
          <w:sz w:val="20"/>
          <w:szCs w:val="20"/>
        </w:rPr>
        <w:br/>
      </w:r>
      <w:r>
        <w:rPr>
          <w:rFonts w:ascii="lato" w:hAnsi="lato"/>
          <w:color w:val="474747"/>
          <w:sz w:val="20"/>
          <w:szCs w:val="20"/>
        </w:rPr>
        <w:br/>
      </w:r>
      <w:r>
        <w:rPr>
          <w:rFonts w:ascii="lato" w:hAnsi="lato"/>
          <w:color w:val="474747"/>
          <w:sz w:val="20"/>
          <w:szCs w:val="20"/>
          <w:shd w:val="clear" w:color="auto" w:fill="FFFFFF"/>
        </w:rPr>
        <w:t>Trial of trademark infringement claim</w:t>
      </w:r>
      <w:r>
        <w:rPr>
          <w:rFonts w:ascii="lato" w:hAnsi="lato"/>
          <w:color w:val="474747"/>
          <w:sz w:val="20"/>
          <w:szCs w:val="20"/>
        </w:rPr>
        <w:br/>
      </w:r>
      <w:r>
        <w:rPr>
          <w:rFonts w:ascii="lato" w:hAnsi="lato"/>
          <w:color w:val="474747"/>
          <w:sz w:val="20"/>
          <w:szCs w:val="20"/>
        </w:rPr>
        <w:br/>
      </w:r>
      <w:r>
        <w:rPr>
          <w:rFonts w:ascii="lato" w:hAnsi="lato"/>
          <w:color w:val="474747"/>
          <w:sz w:val="20"/>
          <w:szCs w:val="20"/>
          <w:shd w:val="clear" w:color="auto" w:fill="FFFFFF"/>
        </w:rPr>
        <w:t>Trials of patent infringement claims for concrete additives.</w:t>
      </w:r>
      <w:r>
        <w:rPr>
          <w:rFonts w:ascii="lato" w:hAnsi="lato"/>
          <w:color w:val="474747"/>
          <w:sz w:val="20"/>
          <w:szCs w:val="20"/>
        </w:rPr>
        <w:br/>
      </w:r>
      <w:r>
        <w:rPr>
          <w:rFonts w:ascii="lato" w:hAnsi="lato"/>
          <w:color w:val="474747"/>
          <w:sz w:val="20"/>
          <w:szCs w:val="20"/>
        </w:rPr>
        <w:br/>
      </w:r>
      <w:r>
        <w:rPr>
          <w:rFonts w:ascii="lato" w:hAnsi="lato"/>
          <w:color w:val="474747"/>
          <w:sz w:val="20"/>
          <w:szCs w:val="20"/>
          <w:shd w:val="clear" w:color="auto" w:fill="FFFFFF"/>
        </w:rPr>
        <w:t>Multi-district litigation by numerous banks against multiple surety companies regarding financial guarantees.</w:t>
      </w:r>
      <w:r>
        <w:rPr>
          <w:rFonts w:ascii="lato" w:hAnsi="lato"/>
          <w:color w:val="474747"/>
          <w:sz w:val="20"/>
          <w:szCs w:val="20"/>
        </w:rPr>
        <w:br/>
      </w:r>
      <w:r>
        <w:rPr>
          <w:rFonts w:ascii="lato" w:hAnsi="lato"/>
          <w:color w:val="474747"/>
          <w:sz w:val="20"/>
          <w:szCs w:val="20"/>
        </w:rPr>
        <w:br/>
      </w:r>
      <w:r>
        <w:rPr>
          <w:rFonts w:ascii="lato" w:hAnsi="lato"/>
          <w:color w:val="474747"/>
          <w:sz w:val="20"/>
          <w:szCs w:val="20"/>
          <w:shd w:val="clear" w:color="auto" w:fill="FFFFFF"/>
        </w:rPr>
        <w:t>Receivership litigation arising from Ponzi scheme.</w:t>
      </w:r>
    </w:p>
    <w:sectPr w:rsidR="005428D2">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400D" w:rsidRDefault="00DC400D">
      <w:r>
        <w:separator/>
      </w:r>
    </w:p>
  </w:endnote>
  <w:endnote w:type="continuationSeparator" w:id="0">
    <w:p w:rsidR="00DC400D" w:rsidRDefault="00DC40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ato">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28D2" w:rsidRDefault="005428D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28D2" w:rsidRDefault="005428D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28D2" w:rsidRDefault="005428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400D" w:rsidRDefault="00DC400D">
      <w:r>
        <w:separator/>
      </w:r>
    </w:p>
  </w:footnote>
  <w:footnote w:type="continuationSeparator" w:id="0">
    <w:p w:rsidR="00DC400D" w:rsidRDefault="00DC40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28D2" w:rsidRDefault="005428D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28D2" w:rsidRDefault="005428D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28D2" w:rsidRDefault="005428D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0"/>
  <w:revisionView w:inkAnnotations="0"/>
  <w:defaultTabStop w:val="720"/>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6CBE"/>
    <w:rsid w:val="005428D2"/>
    <w:rsid w:val="00B36CBE"/>
    <w:rsid w:val="00DC40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3C57393-5918-4DD9-BF2D-B02A1B86CF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semiHidden="1" w:uiPriority="9" w:qFormat="1"/>
    <w:lsdException w:name="heading 2" w:semiHidden="1" w:uiPriority="9" w:qFormat="1"/>
    <w:lsdException w:name="heading 3" w:semiHidden="1" w:uiPriority="9" w:qFormat="1"/>
    <w:lsdException w:name="heading 4" w:semiHidden="1"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qFormat="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qFormat="1"/>
    <w:lsdException w:name="Body Text First Indent 2" w:semiHidden="1" w:uiPriority="0" w:unhideWhenUsed="1" w:qFormat="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nhideWhenUsed="1"/>
    <w:lsdException w:name="Block Text" w:semiHidden="1" w:uiPriority="0" w:unhideWhenUsed="1" w:qFormat="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0"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680"/>
        <w:tab w:val="right" w:pos="9360"/>
      </w:tabs>
    </w:pPr>
  </w:style>
  <w:style w:type="character" w:customStyle="1" w:styleId="HeaderChar">
    <w:name w:val="Header Char"/>
    <w:basedOn w:val="DefaultParagraphFont"/>
    <w:link w:val="Header"/>
    <w:uiPriority w:val="99"/>
    <w:rPr>
      <w:rFonts w:ascii="Times New Roman" w:hAnsi="Times New Roman"/>
      <w:sz w:val="24"/>
    </w:rPr>
  </w:style>
  <w:style w:type="paragraph" w:styleId="BodyText">
    <w:name w:val="Body Text"/>
    <w:basedOn w:val="Normal"/>
    <w:link w:val="BodyTextChar"/>
    <w:qFormat/>
  </w:style>
  <w:style w:type="character" w:customStyle="1" w:styleId="BodyTextChar">
    <w:name w:val="Body Text Char"/>
    <w:basedOn w:val="DefaultParagraphFont"/>
    <w:link w:val="BodyText"/>
    <w:rPr>
      <w:rFonts w:ascii="Times New Roman" w:hAnsi="Times New Roman"/>
      <w:sz w:val="24"/>
    </w:rPr>
  </w:style>
  <w:style w:type="paragraph" w:styleId="BodyText2">
    <w:name w:val="Body Text 2"/>
    <w:basedOn w:val="Normal"/>
    <w:link w:val="BodyText2Char"/>
    <w:qFormat/>
    <w:pPr>
      <w:spacing w:line="480" w:lineRule="auto"/>
    </w:pPr>
  </w:style>
  <w:style w:type="character" w:customStyle="1" w:styleId="BodyText2Char">
    <w:name w:val="Body Text 2 Char"/>
    <w:basedOn w:val="DefaultParagraphFont"/>
    <w:link w:val="BodyText2"/>
    <w:rPr>
      <w:rFonts w:ascii="Times New Roman" w:hAnsi="Times New Roman"/>
      <w:sz w:val="24"/>
    </w:rPr>
  </w:style>
  <w:style w:type="paragraph" w:styleId="BodyTextIndent">
    <w:name w:val="Body Text Indent"/>
    <w:basedOn w:val="Normal"/>
    <w:next w:val="Normal"/>
    <w:link w:val="BodyTextIndentChar"/>
    <w:qFormat/>
    <w:pPr>
      <w:spacing w:after="240"/>
      <w:ind w:left="720" w:right="720"/>
    </w:pPr>
  </w:style>
  <w:style w:type="character" w:customStyle="1" w:styleId="BodyTextIndentChar">
    <w:name w:val="Body Text Indent Char"/>
    <w:basedOn w:val="DefaultParagraphFont"/>
    <w:link w:val="BodyTextIndent"/>
    <w:rPr>
      <w:rFonts w:ascii="Times New Roman" w:hAnsi="Times New Roman"/>
      <w:sz w:val="24"/>
    </w:rPr>
  </w:style>
  <w:style w:type="paragraph" w:styleId="BodyTextFirstIndent2">
    <w:name w:val="Body Text First Indent 2"/>
    <w:aliases w:val="BTFI 2"/>
    <w:basedOn w:val="Normal"/>
    <w:link w:val="BodyTextFirstIndent2Char"/>
    <w:qFormat/>
    <w:pPr>
      <w:spacing w:line="480" w:lineRule="auto"/>
      <w:ind w:firstLine="720"/>
    </w:pPr>
  </w:style>
  <w:style w:type="character" w:customStyle="1" w:styleId="BodyTextFirstIndent2Char">
    <w:name w:val="Body Text First Indent 2 Char"/>
    <w:aliases w:val="BTFI 2 Char"/>
    <w:basedOn w:val="BodyTextIndentChar"/>
    <w:link w:val="BodyTextFirstIndent2"/>
    <w:rPr>
      <w:rFonts w:ascii="Times New Roman" w:hAnsi="Times New Roman"/>
      <w:sz w:val="24"/>
    </w:rPr>
  </w:style>
  <w:style w:type="paragraph" w:styleId="BodyTextFirstIndent">
    <w:name w:val="Body Text First Indent"/>
    <w:aliases w:val="BTFI"/>
    <w:basedOn w:val="Normal"/>
    <w:link w:val="BodyTextFirstIndentChar"/>
    <w:qFormat/>
    <w:pPr>
      <w:spacing w:after="240"/>
      <w:ind w:firstLine="720"/>
    </w:pPr>
  </w:style>
  <w:style w:type="character" w:customStyle="1" w:styleId="BodyTextFirstIndentChar">
    <w:name w:val="Body Text First Indent Char"/>
    <w:aliases w:val="BTFI Char"/>
    <w:basedOn w:val="BodyTextChar"/>
    <w:link w:val="BodyTextFirstIndent"/>
    <w:rPr>
      <w:rFonts w:ascii="Times New Roman" w:hAnsi="Times New Roman"/>
      <w:sz w:val="24"/>
    </w:rPr>
  </w:style>
  <w:style w:type="paragraph" w:customStyle="1" w:styleId="BT12pt">
    <w:name w:val="BT 12pt"/>
    <w:basedOn w:val="Normal"/>
    <w:link w:val="BT12ptChar"/>
    <w:qFormat/>
    <w:pPr>
      <w:spacing w:after="240"/>
    </w:pPr>
  </w:style>
  <w:style w:type="character" w:customStyle="1" w:styleId="BT12ptChar">
    <w:name w:val="BT 12pt Char"/>
    <w:basedOn w:val="DefaultParagraphFont"/>
    <w:link w:val="BT12pt"/>
    <w:rPr>
      <w:rFonts w:ascii="Times New Roman" w:hAnsi="Times New Roman"/>
      <w:sz w:val="24"/>
    </w:rPr>
  </w:style>
  <w:style w:type="paragraph" w:styleId="Quote">
    <w:name w:val="Quote"/>
    <w:basedOn w:val="Normal"/>
    <w:next w:val="Normal"/>
    <w:link w:val="QuoteChar"/>
    <w:qFormat/>
    <w:pPr>
      <w:spacing w:after="240"/>
      <w:ind w:left="1440" w:right="1440"/>
    </w:pPr>
    <w:rPr>
      <w:iCs/>
    </w:rPr>
  </w:style>
  <w:style w:type="character" w:customStyle="1" w:styleId="QuoteChar">
    <w:name w:val="Quote Char"/>
    <w:basedOn w:val="DefaultParagraphFont"/>
    <w:link w:val="Quote"/>
    <w:rPr>
      <w:rFonts w:ascii="Times New Roman" w:hAnsi="Times New Roman"/>
      <w:iCs/>
      <w:sz w:val="24"/>
    </w:rPr>
  </w:style>
  <w:style w:type="paragraph" w:customStyle="1" w:styleId="RightTab65">
    <w:name w:val="Right Tab 6.5"/>
    <w:basedOn w:val="Normal"/>
    <w:link w:val="RightTab65Char"/>
    <w:qFormat/>
    <w:pPr>
      <w:tabs>
        <w:tab w:val="right" w:pos="9360"/>
      </w:tabs>
    </w:pPr>
  </w:style>
  <w:style w:type="character" w:customStyle="1" w:styleId="RightTab65Char">
    <w:name w:val="Right Tab 6.5 Char"/>
    <w:basedOn w:val="DefaultParagraphFont"/>
    <w:link w:val="RightTab65"/>
    <w:rPr>
      <w:rFonts w:ascii="Times New Roman" w:hAnsi="Times New Roman"/>
      <w:sz w:val="24"/>
    </w:rPr>
  </w:style>
  <w:style w:type="paragraph" w:customStyle="1" w:styleId="SignDated">
    <w:name w:val="Sign Dated"/>
    <w:basedOn w:val="Normal"/>
    <w:link w:val="SignDatedChar"/>
    <w:qFormat/>
    <w:pPr>
      <w:keepNext/>
      <w:keepLines/>
      <w:tabs>
        <w:tab w:val="right" w:leader="underscore" w:pos="3600"/>
        <w:tab w:val="left" w:pos="4680"/>
        <w:tab w:val="right" w:leader="underscore" w:pos="9360"/>
      </w:tabs>
      <w:spacing w:after="240"/>
      <w:ind w:left="4680" w:hanging="4680"/>
    </w:pPr>
  </w:style>
  <w:style w:type="character" w:customStyle="1" w:styleId="SignDatedChar">
    <w:name w:val="Sign Dated Char"/>
    <w:basedOn w:val="DefaultParagraphFont"/>
    <w:link w:val="SignDated"/>
    <w:rPr>
      <w:rFonts w:ascii="Times New Roman" w:hAnsi="Times New Roman"/>
      <w:sz w:val="24"/>
    </w:rPr>
  </w:style>
  <w:style w:type="paragraph" w:customStyle="1" w:styleId="SignDouble">
    <w:name w:val="Sign Double"/>
    <w:basedOn w:val="Normal"/>
    <w:next w:val="SignDoubleCont"/>
    <w:link w:val="SignDoubleChar"/>
    <w:qFormat/>
    <w:pPr>
      <w:keepNext/>
      <w:keepLines/>
      <w:tabs>
        <w:tab w:val="right" w:leader="underscore" w:pos="4320"/>
        <w:tab w:val="left" w:pos="4680"/>
        <w:tab w:val="right" w:leader="underscore" w:pos="9360"/>
      </w:tabs>
    </w:pPr>
  </w:style>
  <w:style w:type="character" w:customStyle="1" w:styleId="SignDoubleChar">
    <w:name w:val="Sign Double Char"/>
    <w:basedOn w:val="DefaultParagraphFont"/>
    <w:link w:val="SignDouble"/>
    <w:rPr>
      <w:rFonts w:ascii="Times New Roman" w:hAnsi="Times New Roman"/>
      <w:sz w:val="24"/>
    </w:rPr>
  </w:style>
  <w:style w:type="paragraph" w:customStyle="1" w:styleId="SignDoubleCont">
    <w:name w:val="Sign Double Cont"/>
    <w:basedOn w:val="Normal"/>
    <w:link w:val="SignDoubleContChar"/>
    <w:semiHidden/>
    <w:pPr>
      <w:keepNext/>
      <w:tabs>
        <w:tab w:val="right" w:pos="4147"/>
        <w:tab w:val="left" w:pos="4723"/>
        <w:tab w:val="right" w:pos="9274"/>
      </w:tabs>
    </w:pPr>
  </w:style>
  <w:style w:type="character" w:customStyle="1" w:styleId="SignDoubleContChar">
    <w:name w:val="Sign Double Cont Char"/>
    <w:basedOn w:val="DefaultParagraphFont"/>
    <w:link w:val="SignDoubleCont"/>
    <w:semiHidden/>
    <w:rPr>
      <w:rFonts w:ascii="Times New Roman" w:hAnsi="Times New Roman"/>
      <w:sz w:val="24"/>
    </w:rPr>
  </w:style>
  <w:style w:type="paragraph" w:styleId="Signature">
    <w:name w:val="Signature"/>
    <w:basedOn w:val="Normal"/>
    <w:link w:val="SignatureChar"/>
    <w:qFormat/>
    <w:pPr>
      <w:keepNext/>
      <w:keepLines/>
      <w:tabs>
        <w:tab w:val="right" w:leader="underscore" w:pos="9360"/>
      </w:tabs>
      <w:spacing w:after="240"/>
      <w:ind w:left="4680"/>
      <w:contextualSpacing/>
    </w:pPr>
  </w:style>
  <w:style w:type="character" w:customStyle="1" w:styleId="SignatureChar">
    <w:name w:val="Signature Char"/>
    <w:basedOn w:val="DefaultParagraphFont"/>
    <w:link w:val="Signature"/>
    <w:rPr>
      <w:rFonts w:ascii="Times New Roman" w:hAnsi="Times New Roman"/>
      <w:sz w:val="24"/>
    </w:rPr>
  </w:style>
  <w:style w:type="paragraph" w:styleId="Subtitle">
    <w:name w:val="Subtitle"/>
    <w:basedOn w:val="Normal"/>
    <w:next w:val="Normal"/>
    <w:link w:val="SubtitleChar"/>
    <w:qFormat/>
    <w:pPr>
      <w:keepNext/>
      <w:numPr>
        <w:ilvl w:val="1"/>
      </w:numPr>
      <w:spacing w:after="240"/>
      <w:jc w:val="left"/>
    </w:pPr>
    <w:rPr>
      <w:rFonts w:eastAsiaTheme="minorEastAsia"/>
      <w:b/>
    </w:rPr>
  </w:style>
  <w:style w:type="character" w:customStyle="1" w:styleId="SubtitleChar">
    <w:name w:val="Subtitle Char"/>
    <w:basedOn w:val="DefaultParagraphFont"/>
    <w:link w:val="Subtitle"/>
    <w:rPr>
      <w:rFonts w:ascii="Times New Roman" w:eastAsiaTheme="minorEastAsia" w:hAnsi="Times New Roman"/>
      <w:b/>
      <w:sz w:val="24"/>
    </w:rPr>
  </w:style>
  <w:style w:type="paragraph" w:styleId="Title">
    <w:name w:val="Title"/>
    <w:basedOn w:val="Normal"/>
    <w:next w:val="Normal"/>
    <w:link w:val="TitleChar"/>
    <w:qFormat/>
    <w:pPr>
      <w:keepNext/>
      <w:spacing w:after="240"/>
      <w:jc w:val="center"/>
    </w:pPr>
    <w:rPr>
      <w:rFonts w:eastAsiaTheme="majorEastAsia" w:cstheme="majorBidi"/>
      <w:b/>
      <w:szCs w:val="56"/>
    </w:rPr>
  </w:style>
  <w:style w:type="character" w:customStyle="1" w:styleId="TitleChar">
    <w:name w:val="Title Char"/>
    <w:basedOn w:val="DefaultParagraphFont"/>
    <w:link w:val="Title"/>
    <w:rPr>
      <w:rFonts w:ascii="Times New Roman" w:eastAsiaTheme="majorEastAsia" w:hAnsi="Times New Roman" w:cstheme="majorBidi"/>
      <w:b/>
      <w:sz w:val="24"/>
      <w:szCs w:val="56"/>
    </w:rPr>
  </w:style>
  <w:style w:type="paragraph" w:customStyle="1" w:styleId="TitleAllCap">
    <w:name w:val="Title All Cap"/>
    <w:basedOn w:val="Normal"/>
    <w:next w:val="Normal"/>
    <w:link w:val="TitleAllCapChar"/>
    <w:qFormat/>
    <w:pPr>
      <w:keepNext/>
      <w:spacing w:after="240"/>
      <w:jc w:val="center"/>
    </w:pPr>
    <w:rPr>
      <w:b/>
      <w:caps/>
    </w:rPr>
  </w:style>
  <w:style w:type="character" w:customStyle="1" w:styleId="TitleAllCapChar">
    <w:name w:val="Title All Cap Char"/>
    <w:basedOn w:val="DefaultParagraphFont"/>
    <w:link w:val="TitleAllCap"/>
    <w:rPr>
      <w:rFonts w:ascii="Times New Roman" w:hAnsi="Times New Roman"/>
      <w:b/>
      <w:caps/>
      <w:sz w:val="24"/>
    </w:rPr>
  </w:style>
  <w:style w:type="paragraph" w:styleId="Footer">
    <w:name w:val="footer"/>
    <w:basedOn w:val="Normal"/>
    <w:link w:val="FooterChar"/>
    <w:uiPriority w:val="99"/>
    <w:unhideWhenUsed/>
    <w:pPr>
      <w:tabs>
        <w:tab w:val="center" w:pos="4680"/>
        <w:tab w:val="right" w:pos="9360"/>
      </w:tabs>
    </w:pPr>
  </w:style>
  <w:style w:type="character" w:customStyle="1" w:styleId="FooterChar">
    <w:name w:val="Footer Char"/>
    <w:basedOn w:val="DefaultParagraphFont"/>
    <w:link w:val="Footer"/>
    <w:uiPriority w:val="99"/>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29E18D-F555-4277-9B32-437C6BD438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1526</Words>
  <Characters>8704</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Taft Stettinius &amp; Hollister LLP</Company>
  <LinksUpToDate>false</LinksUpToDate>
  <CharactersWithSpaces>10210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Diamant, Michael</dc:creator>
  <cp:keywords/>
  <dc:description/>
  <cp:lastModifiedBy>Diamant, Michael</cp:lastModifiedBy>
  <cp:revision>1</cp:revision>
  <cp:lastPrinted>2019-08-09T20:55:00Z</cp:lastPrinted>
  <dcterms:created xsi:type="dcterms:W3CDTF">2023-01-17T18:12:00Z</dcterms:created>
  <dcterms:modified xsi:type="dcterms:W3CDTF">2023-01-17T18:13:00Z</dcterms:modified>
</cp:coreProperties>
</file>