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E6690" w14:textId="5DBB4857" w:rsidR="007832E6" w:rsidRPr="007832E6" w:rsidRDefault="00BE2823" w:rsidP="007832E6">
      <w:pPr>
        <w:spacing w:after="120" w:line="276" w:lineRule="auto"/>
        <w:jc w:val="center"/>
        <w:rPr>
          <w:rFonts w:ascii="Garamond" w:hAnsi="Garamond" w:cs="Times New Roman"/>
          <w:b/>
          <w:bCs/>
        </w:rPr>
      </w:pPr>
      <w:r w:rsidRPr="007832E6">
        <w:rPr>
          <w:rFonts w:ascii="Garamond" w:hAnsi="Garamond" w:cs="Times New Roman"/>
          <w:b/>
          <w:bCs/>
        </w:rPr>
        <w:t xml:space="preserve">International Arbitration &amp; Dispute </w:t>
      </w:r>
      <w:proofErr w:type="spellStart"/>
      <w:r w:rsidRPr="007832E6">
        <w:rPr>
          <w:rFonts w:ascii="Garamond" w:hAnsi="Garamond" w:cs="Times New Roman"/>
          <w:b/>
          <w:bCs/>
        </w:rPr>
        <w:t>Resolution</w:t>
      </w:r>
      <w:proofErr w:type="spellEnd"/>
      <w:r w:rsidRPr="007832E6">
        <w:rPr>
          <w:rFonts w:ascii="Garamond" w:hAnsi="Garamond" w:cs="Times New Roman"/>
          <w:b/>
          <w:bCs/>
        </w:rPr>
        <w:t xml:space="preserve"> Symposium</w:t>
      </w:r>
    </w:p>
    <w:p w14:paraId="17E172F0" w14:textId="77777777" w:rsidR="007832E6" w:rsidRDefault="007832E6" w:rsidP="007832E6">
      <w:pPr>
        <w:spacing w:after="120"/>
        <w:ind w:left="700" w:hanging="700"/>
        <w:rPr>
          <w:rFonts w:ascii="Garamond" w:hAnsi="Garamond" w:cs="Times New Roman"/>
          <w:lang w:val="en-US"/>
        </w:rPr>
      </w:pPr>
      <w:r>
        <w:rPr>
          <w:rFonts w:ascii="Garamond" w:hAnsi="Garamond" w:cs="Times New Roman"/>
          <w:lang w:val="en-US"/>
        </w:rPr>
        <w:t>By</w:t>
      </w:r>
      <w:r>
        <w:rPr>
          <w:rFonts w:ascii="Garamond" w:hAnsi="Garamond" w:cs="Times New Roman"/>
          <w:lang w:val="en-US"/>
        </w:rPr>
        <w:tab/>
      </w:r>
      <w:r w:rsidRPr="007832E6">
        <w:rPr>
          <w:rFonts w:ascii="Garamond" w:hAnsi="Garamond" w:cs="Times New Roman"/>
          <w:lang w:val="en-US"/>
        </w:rPr>
        <w:t xml:space="preserve">Ivan-Axel </w:t>
      </w:r>
      <w:proofErr w:type="spellStart"/>
      <w:r w:rsidRPr="007832E6">
        <w:rPr>
          <w:rFonts w:ascii="Garamond" w:hAnsi="Garamond" w:cs="Times New Roman"/>
          <w:lang w:val="en-US"/>
        </w:rPr>
        <w:t>Doubrava</w:t>
      </w:r>
      <w:proofErr w:type="spellEnd"/>
      <w:r w:rsidRPr="007832E6">
        <w:rPr>
          <w:rFonts w:ascii="Garamond" w:hAnsi="Garamond" w:cs="Times New Roman"/>
          <w:lang w:val="en-US"/>
        </w:rPr>
        <w:t>, LL.M. Candidate Washington University School of Law, Negotiation &amp; Dispute Resolution</w:t>
      </w:r>
    </w:p>
    <w:p w14:paraId="3F0325BF" w14:textId="4CAAF475" w:rsidR="007832E6" w:rsidRPr="007832E6" w:rsidRDefault="007832E6" w:rsidP="0011708F">
      <w:pPr>
        <w:spacing w:after="120"/>
        <w:ind w:left="700" w:firstLine="8"/>
        <w:rPr>
          <w:rFonts w:ascii="Garamond" w:hAnsi="Garamond" w:cs="Times New Roman"/>
          <w:lang w:val="en-US"/>
        </w:rPr>
      </w:pPr>
      <w:r w:rsidRPr="007A7645">
        <w:rPr>
          <w:rFonts w:ascii="Garamond" w:hAnsi="Garamond" w:cs="Times New Roman"/>
          <w:noProof/>
          <w:lang w:val="en-US"/>
        </w:rPr>
        <w:drawing>
          <wp:anchor distT="0" distB="0" distL="114300" distR="114300" simplePos="0" relativeHeight="251659264" behindDoc="0" locked="0" layoutInCell="1" allowOverlap="1" wp14:anchorId="041A7D2E" wp14:editId="06596BC8">
            <wp:simplePos x="0" y="0"/>
            <wp:positionH relativeFrom="margin">
              <wp:align>left</wp:align>
            </wp:positionH>
            <wp:positionV relativeFrom="paragraph">
              <wp:posOffset>397510</wp:posOffset>
            </wp:positionV>
            <wp:extent cx="5920740" cy="259905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B3kzqj-X2.jpg"/>
                    <pic:cNvPicPr/>
                  </pic:nvPicPr>
                  <pic:blipFill>
                    <a:blip r:embed="rId7">
                      <a:extLst>
                        <a:ext uri="{28A0092B-C50C-407E-A947-70E740481C1C}">
                          <a14:useLocalDpi xmlns:a14="http://schemas.microsoft.com/office/drawing/2010/main" val="0"/>
                        </a:ext>
                      </a:extLst>
                    </a:blip>
                    <a:stretch>
                      <a:fillRect/>
                    </a:stretch>
                  </pic:blipFill>
                  <pic:spPr>
                    <a:xfrm>
                      <a:off x="0" y="0"/>
                      <a:ext cx="5920740" cy="2599055"/>
                    </a:xfrm>
                    <a:prstGeom prst="rect">
                      <a:avLst/>
                    </a:prstGeom>
                  </pic:spPr>
                </pic:pic>
              </a:graphicData>
            </a:graphic>
            <wp14:sizeRelH relativeFrom="margin">
              <wp14:pctWidth>0</wp14:pctWidth>
            </wp14:sizeRelH>
            <wp14:sizeRelV relativeFrom="margin">
              <wp14:pctHeight>0</wp14:pctHeight>
            </wp14:sizeRelV>
          </wp:anchor>
        </w:drawing>
      </w:r>
      <w:r w:rsidRPr="007832E6">
        <w:rPr>
          <w:rFonts w:ascii="Garamond" w:hAnsi="Garamond" w:cs="Times New Roman"/>
          <w:lang w:val="en-US"/>
        </w:rPr>
        <w:t xml:space="preserve">Madaline George, </w:t>
      </w:r>
      <w:r w:rsidR="0011708F">
        <w:rPr>
          <w:rFonts w:ascii="Garamond" w:hAnsi="Garamond" w:cs="Times New Roman"/>
          <w:lang w:val="en-US"/>
        </w:rPr>
        <w:t xml:space="preserve">JD ’14, Whitney R. </w:t>
      </w:r>
      <w:r w:rsidRPr="007832E6">
        <w:rPr>
          <w:rFonts w:ascii="Garamond" w:hAnsi="Garamond" w:cs="Times New Roman"/>
          <w:lang w:val="en-US"/>
        </w:rPr>
        <w:t xml:space="preserve">Harris </w:t>
      </w:r>
      <w:r w:rsidR="0011708F">
        <w:rPr>
          <w:rFonts w:ascii="Garamond" w:hAnsi="Garamond" w:cs="Times New Roman"/>
          <w:lang w:val="en-US"/>
        </w:rPr>
        <w:t xml:space="preserve">World Law </w:t>
      </w:r>
      <w:r w:rsidRPr="007832E6">
        <w:rPr>
          <w:rFonts w:ascii="Garamond" w:hAnsi="Garamond" w:cs="Times New Roman"/>
          <w:lang w:val="en-US"/>
        </w:rPr>
        <w:t>Institute Fellow</w:t>
      </w:r>
      <w:r w:rsidR="0011708F">
        <w:rPr>
          <w:rFonts w:ascii="Garamond" w:hAnsi="Garamond" w:cs="Times New Roman"/>
          <w:lang w:val="en-US"/>
        </w:rPr>
        <w:t>, Washington University School of Law</w:t>
      </w:r>
    </w:p>
    <w:p w14:paraId="250660C0" w14:textId="77777777" w:rsidR="0011708F" w:rsidRDefault="0011708F" w:rsidP="000311FD">
      <w:pPr>
        <w:spacing w:after="120"/>
        <w:jc w:val="both"/>
        <w:rPr>
          <w:rFonts w:ascii="Garamond" w:hAnsi="Garamond" w:cs="Times New Roman"/>
          <w:lang w:val="en-US"/>
        </w:rPr>
      </w:pPr>
    </w:p>
    <w:p w14:paraId="76CBF1F1" w14:textId="2F888FEE" w:rsidR="000311FD" w:rsidRDefault="00AE2792" w:rsidP="000311FD">
      <w:pPr>
        <w:spacing w:after="120"/>
        <w:jc w:val="both"/>
        <w:rPr>
          <w:rFonts w:ascii="Garamond" w:hAnsi="Garamond" w:cs="Times New Roman"/>
          <w:lang w:val="en-US"/>
        </w:rPr>
      </w:pPr>
      <w:r w:rsidRPr="007A7645">
        <w:rPr>
          <w:rFonts w:ascii="Garamond" w:hAnsi="Garamond" w:cs="Times New Roman"/>
          <w:lang w:val="en-US"/>
        </w:rPr>
        <w:t xml:space="preserve">On February 21, 2020, </w:t>
      </w:r>
      <w:hyperlink r:id="rId8" w:history="1">
        <w:r w:rsidRPr="007A7645">
          <w:rPr>
            <w:rStyle w:val="Hyperlink"/>
            <w:rFonts w:ascii="Garamond" w:hAnsi="Garamond" w:cs="Times New Roman"/>
            <w:lang w:val="en-US"/>
          </w:rPr>
          <w:t>Washington University in St. Louis School of Law’s</w:t>
        </w:r>
      </w:hyperlink>
      <w:r w:rsidRPr="007A7645">
        <w:rPr>
          <w:rFonts w:ascii="Garamond" w:hAnsi="Garamond" w:cs="Times New Roman"/>
          <w:lang w:val="en-US"/>
        </w:rPr>
        <w:t xml:space="preserve"> Whitney R. Harris World Law Institute and Negotiation and Dispute Resolution Program hosted the </w:t>
      </w:r>
      <w:hyperlink r:id="rId9" w:history="1">
        <w:r w:rsidR="00BE2823" w:rsidRPr="007A7645">
          <w:rPr>
            <w:rStyle w:val="Hyperlink"/>
            <w:rFonts w:ascii="Garamond" w:hAnsi="Garamond" w:cs="Times New Roman"/>
            <w:i/>
            <w:lang w:val="en-US"/>
          </w:rPr>
          <w:t>Third I</w:t>
        </w:r>
        <w:r w:rsidRPr="007A7645">
          <w:rPr>
            <w:rStyle w:val="Hyperlink"/>
            <w:rFonts w:ascii="Garamond" w:hAnsi="Garamond" w:cs="Times New Roman"/>
            <w:i/>
            <w:lang w:val="en-US"/>
          </w:rPr>
          <w:t>nternational Arbitration &amp; Dispute Resolution Symposium: What Happens Before and After International Arbitration?</w:t>
        </w:r>
      </w:hyperlink>
      <w:r w:rsidR="00BE2823" w:rsidRPr="007A7645">
        <w:rPr>
          <w:rFonts w:ascii="Garamond" w:hAnsi="Garamond" w:cs="Times New Roman"/>
          <w:lang w:val="en-US"/>
        </w:rPr>
        <w:t xml:space="preserve"> in St Louis, Missouri. </w:t>
      </w:r>
    </w:p>
    <w:p w14:paraId="090D976D" w14:textId="77777777" w:rsidR="003E307B" w:rsidRPr="007A7645" w:rsidRDefault="003E307B" w:rsidP="000311FD">
      <w:pPr>
        <w:spacing w:after="120"/>
        <w:jc w:val="both"/>
        <w:rPr>
          <w:rFonts w:ascii="Garamond" w:hAnsi="Garamond" w:cs="Times New Roman"/>
          <w:lang w:val="en-US"/>
        </w:rPr>
      </w:pPr>
      <w:r w:rsidRPr="007A7645">
        <w:rPr>
          <w:rFonts w:ascii="Garamond" w:hAnsi="Garamond" w:cs="Times New Roman"/>
          <w:noProof/>
          <w:lang w:val="en-US"/>
        </w:rPr>
        <w:drawing>
          <wp:anchor distT="0" distB="0" distL="114300" distR="114300" simplePos="0" relativeHeight="251667456" behindDoc="0" locked="0" layoutInCell="1" allowOverlap="1" wp14:anchorId="6647240B" wp14:editId="23AED487">
            <wp:simplePos x="0" y="0"/>
            <wp:positionH relativeFrom="margin">
              <wp:align>left</wp:align>
            </wp:positionH>
            <wp:positionV relativeFrom="paragraph">
              <wp:posOffset>240393</wp:posOffset>
            </wp:positionV>
            <wp:extent cx="2513965" cy="3352800"/>
            <wp:effectExtent l="0" t="0" r="635" b="0"/>
            <wp:wrapSquare wrapText="bothSides"/>
            <wp:docPr id="9" name="Picture 9" descr="C:\Users\madalinegeorge\AppData\Local\Microsoft\Windows\INetCache\Content.Word\Poster - 2020 International Arbitration Dispute Resolution Symposium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alinegeorge\AppData\Local\Microsoft\Windows\INetCache\Content.Word\Poster - 2020 International Arbitration Dispute Resolution Symposium_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229" cy="3356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6E139" w14:textId="77777777" w:rsidR="002E1A7F" w:rsidRPr="007A7645" w:rsidRDefault="00AE2792" w:rsidP="000311FD">
      <w:pPr>
        <w:spacing w:after="120"/>
        <w:jc w:val="both"/>
        <w:rPr>
          <w:rFonts w:ascii="Garamond" w:hAnsi="Garamond" w:cs="Times New Roman"/>
          <w:lang w:val="en-US"/>
        </w:rPr>
      </w:pPr>
      <w:r w:rsidRPr="007A7645">
        <w:rPr>
          <w:rFonts w:ascii="Garamond" w:hAnsi="Garamond" w:cs="Times New Roman"/>
          <w:lang w:val="en-US"/>
        </w:rPr>
        <w:t xml:space="preserve">This </w:t>
      </w:r>
      <w:r w:rsidR="00BE2823" w:rsidRPr="007A7645">
        <w:rPr>
          <w:rFonts w:ascii="Garamond" w:hAnsi="Garamond" w:cs="Times New Roman"/>
          <w:lang w:val="en-US"/>
        </w:rPr>
        <w:t xml:space="preserve">year’s </w:t>
      </w:r>
      <w:r w:rsidRPr="007A7645">
        <w:rPr>
          <w:rFonts w:ascii="Garamond" w:hAnsi="Garamond" w:cs="Times New Roman"/>
          <w:lang w:val="en-US"/>
        </w:rPr>
        <w:t>Symposium focuse</w:t>
      </w:r>
      <w:r w:rsidR="00DE77D1" w:rsidRPr="007A7645">
        <w:rPr>
          <w:rFonts w:ascii="Garamond" w:hAnsi="Garamond" w:cs="Times New Roman"/>
          <w:lang w:val="en-US"/>
        </w:rPr>
        <w:t>d</w:t>
      </w:r>
      <w:r w:rsidRPr="007A7645">
        <w:rPr>
          <w:rFonts w:ascii="Garamond" w:hAnsi="Garamond" w:cs="Times New Roman"/>
          <w:lang w:val="en-US"/>
        </w:rPr>
        <w:t xml:space="preserve"> </w:t>
      </w:r>
      <w:r w:rsidRPr="00772D9F">
        <w:rPr>
          <w:rFonts w:ascii="Garamond" w:hAnsi="Garamond" w:cs="Times New Roman"/>
          <w:lang w:val="en-US"/>
        </w:rPr>
        <w:t xml:space="preserve">on the </w:t>
      </w:r>
      <w:r w:rsidR="00BE2823" w:rsidRPr="00772D9F">
        <w:rPr>
          <w:rFonts w:ascii="Garamond" w:hAnsi="Garamond" w:cs="Times New Roman"/>
          <w:lang w:val="en-US"/>
        </w:rPr>
        <w:t>various</w:t>
      </w:r>
      <w:r w:rsidRPr="00772D9F">
        <w:rPr>
          <w:rFonts w:ascii="Garamond" w:hAnsi="Garamond" w:cs="Times New Roman"/>
          <w:lang w:val="en-US"/>
        </w:rPr>
        <w:t xml:space="preserve"> challenges </w:t>
      </w:r>
      <w:r w:rsidR="00DF53D9" w:rsidRPr="00772D9F">
        <w:rPr>
          <w:rFonts w:ascii="Garamond" w:hAnsi="Garamond" w:cs="Times New Roman"/>
          <w:lang w:val="en-US"/>
        </w:rPr>
        <w:t xml:space="preserve">and opportunities </w:t>
      </w:r>
      <w:r w:rsidR="00BE2823" w:rsidRPr="00772D9F">
        <w:rPr>
          <w:rFonts w:ascii="Garamond" w:hAnsi="Garamond" w:cs="Times New Roman"/>
          <w:lang w:val="en-US"/>
        </w:rPr>
        <w:t xml:space="preserve">present </w:t>
      </w:r>
      <w:r w:rsidRPr="00772D9F">
        <w:rPr>
          <w:rFonts w:ascii="Garamond" w:hAnsi="Garamond" w:cs="Times New Roman"/>
          <w:lang w:val="en-US"/>
        </w:rPr>
        <w:t xml:space="preserve">in international arbitration </w:t>
      </w:r>
      <w:r w:rsidR="00BE2823" w:rsidRPr="00772D9F">
        <w:rPr>
          <w:rFonts w:ascii="Garamond" w:hAnsi="Garamond" w:cs="Times New Roman"/>
          <w:i/>
          <w:lang w:val="en-US"/>
        </w:rPr>
        <w:t>prior</w:t>
      </w:r>
      <w:r w:rsidR="00BE2823" w:rsidRPr="00772D9F">
        <w:rPr>
          <w:rFonts w:ascii="Garamond" w:hAnsi="Garamond" w:cs="Times New Roman"/>
          <w:lang w:val="en-US"/>
        </w:rPr>
        <w:t xml:space="preserve"> to the</w:t>
      </w:r>
      <w:r w:rsidR="00BE2823" w:rsidRPr="007A7645">
        <w:rPr>
          <w:rFonts w:ascii="Garamond" w:hAnsi="Garamond" w:cs="Times New Roman"/>
          <w:lang w:val="en-US"/>
        </w:rPr>
        <w:t xml:space="preserve"> </w:t>
      </w:r>
      <w:r w:rsidR="00772D9F">
        <w:rPr>
          <w:rFonts w:ascii="Garamond" w:hAnsi="Garamond" w:cs="Times New Roman"/>
          <w:lang w:val="en-US"/>
        </w:rPr>
        <w:t>commencement</w:t>
      </w:r>
      <w:r w:rsidR="00BE2823" w:rsidRPr="007A7645">
        <w:rPr>
          <w:rFonts w:ascii="Garamond" w:hAnsi="Garamond" w:cs="Times New Roman"/>
          <w:lang w:val="en-US"/>
        </w:rPr>
        <w:t xml:space="preserve"> of </w:t>
      </w:r>
      <w:r w:rsidR="00772D9F">
        <w:rPr>
          <w:rFonts w:ascii="Garamond" w:hAnsi="Garamond" w:cs="Times New Roman"/>
          <w:lang w:val="en-US"/>
        </w:rPr>
        <w:t xml:space="preserve">the </w:t>
      </w:r>
      <w:r w:rsidR="00BE2823" w:rsidRPr="007A7645">
        <w:rPr>
          <w:rFonts w:ascii="Garamond" w:hAnsi="Garamond" w:cs="Times New Roman"/>
          <w:lang w:val="en-US"/>
        </w:rPr>
        <w:t>arbitration</w:t>
      </w:r>
      <w:r w:rsidR="00772D9F">
        <w:rPr>
          <w:rFonts w:ascii="Garamond" w:hAnsi="Garamond" w:cs="Times New Roman"/>
          <w:lang w:val="en-US"/>
        </w:rPr>
        <w:t xml:space="preserve"> and </w:t>
      </w:r>
      <w:r w:rsidR="00772D9F" w:rsidRPr="00772D9F">
        <w:rPr>
          <w:rFonts w:ascii="Garamond" w:hAnsi="Garamond" w:cs="Times New Roman"/>
          <w:i/>
          <w:lang w:val="en-US"/>
        </w:rPr>
        <w:t>after</w:t>
      </w:r>
      <w:r w:rsidR="00772D9F">
        <w:rPr>
          <w:rFonts w:ascii="Garamond" w:hAnsi="Garamond" w:cs="Times New Roman"/>
          <w:lang w:val="en-US"/>
        </w:rPr>
        <w:t xml:space="preserve"> the arbitral proceeding has concluded</w:t>
      </w:r>
      <w:r w:rsidR="004A02EF" w:rsidRPr="007A7645">
        <w:rPr>
          <w:rFonts w:ascii="Garamond" w:hAnsi="Garamond" w:cs="Times New Roman"/>
          <w:lang w:val="en-US"/>
        </w:rPr>
        <w:t xml:space="preserve">. </w:t>
      </w:r>
      <w:r w:rsidR="00772D9F">
        <w:rPr>
          <w:rFonts w:ascii="Garamond" w:hAnsi="Garamond" w:cs="Times New Roman"/>
          <w:lang w:val="en-US"/>
        </w:rPr>
        <w:t>Practitioners, in-house counsel, arbitrators, academics, and representatives from arbitral institutions</w:t>
      </w:r>
      <w:r w:rsidR="004A02EF" w:rsidRPr="007A7645">
        <w:rPr>
          <w:rFonts w:ascii="Garamond" w:hAnsi="Garamond" w:cs="Times New Roman"/>
          <w:lang w:val="en-US"/>
        </w:rPr>
        <w:t xml:space="preserve"> offered their perspectives on not only</w:t>
      </w:r>
      <w:r w:rsidRPr="007A7645">
        <w:rPr>
          <w:rFonts w:ascii="Garamond" w:hAnsi="Garamond" w:cs="Times New Roman"/>
          <w:lang w:val="en-US"/>
        </w:rPr>
        <w:t xml:space="preserve"> considerations to be taken into account when drafting arbitration clauses and in the necessary management of the dispute, </w:t>
      </w:r>
      <w:r w:rsidR="004A02EF" w:rsidRPr="007A7645">
        <w:rPr>
          <w:rFonts w:ascii="Garamond" w:hAnsi="Garamond" w:cs="Times New Roman"/>
          <w:lang w:val="en-US"/>
        </w:rPr>
        <w:t>but also what problems can be expected once the award has been rendered, and how best to prepare for and address those issues. While many may consider t</w:t>
      </w:r>
      <w:r w:rsidRPr="007A7645">
        <w:rPr>
          <w:rFonts w:ascii="Garamond" w:hAnsi="Garamond" w:cs="Times New Roman"/>
          <w:lang w:val="en-US"/>
        </w:rPr>
        <w:t xml:space="preserve">he arbitration process </w:t>
      </w:r>
      <w:r w:rsidR="004A02EF" w:rsidRPr="007A7645">
        <w:rPr>
          <w:rFonts w:ascii="Garamond" w:hAnsi="Garamond" w:cs="Times New Roman"/>
          <w:lang w:val="en-US"/>
        </w:rPr>
        <w:t>to be simply the</w:t>
      </w:r>
      <w:r w:rsidRPr="007A7645">
        <w:rPr>
          <w:rFonts w:ascii="Garamond" w:hAnsi="Garamond" w:cs="Times New Roman"/>
          <w:lang w:val="en-US"/>
        </w:rPr>
        <w:t xml:space="preserve"> period </w:t>
      </w:r>
      <w:r w:rsidR="004A02EF" w:rsidRPr="007A7645">
        <w:rPr>
          <w:rFonts w:ascii="Garamond" w:hAnsi="Garamond" w:cs="Times New Roman"/>
          <w:lang w:val="en-US"/>
        </w:rPr>
        <w:t xml:space="preserve">which occurs </w:t>
      </w:r>
      <w:r w:rsidRPr="007A7645">
        <w:rPr>
          <w:rFonts w:ascii="Garamond" w:hAnsi="Garamond" w:cs="Times New Roman"/>
          <w:lang w:val="en-US"/>
        </w:rPr>
        <w:t xml:space="preserve">between the moment the request for arbitration is filled </w:t>
      </w:r>
      <w:r w:rsidR="004A02EF" w:rsidRPr="007A7645">
        <w:rPr>
          <w:rFonts w:ascii="Garamond" w:hAnsi="Garamond" w:cs="Times New Roman"/>
          <w:lang w:val="en-US"/>
        </w:rPr>
        <w:t>and the fin</w:t>
      </w:r>
      <w:r w:rsidR="00772D9F">
        <w:rPr>
          <w:rFonts w:ascii="Garamond" w:hAnsi="Garamond" w:cs="Times New Roman"/>
          <w:lang w:val="en-US"/>
        </w:rPr>
        <w:t>al award, this</w:t>
      </w:r>
      <w:r w:rsidR="004A02EF" w:rsidRPr="007A7645">
        <w:rPr>
          <w:rFonts w:ascii="Garamond" w:hAnsi="Garamond" w:cs="Times New Roman"/>
          <w:lang w:val="en-US"/>
        </w:rPr>
        <w:t xml:space="preserve"> group of experts demonstrated that</w:t>
      </w:r>
      <w:r w:rsidR="00772D9F">
        <w:rPr>
          <w:rFonts w:ascii="Garamond" w:hAnsi="Garamond" w:cs="Times New Roman"/>
          <w:lang w:val="en-US"/>
        </w:rPr>
        <w:t xml:space="preserve"> a host of other issues must be considered to ensure an effective and efficient arbitral process, including </w:t>
      </w:r>
      <w:r w:rsidRPr="007A7645">
        <w:rPr>
          <w:rFonts w:ascii="Garamond" w:hAnsi="Garamond" w:cs="Times New Roman"/>
          <w:lang w:val="en-US"/>
        </w:rPr>
        <w:t>developing the case,</w:t>
      </w:r>
      <w:r w:rsidR="00772D9F">
        <w:rPr>
          <w:rFonts w:ascii="Garamond" w:hAnsi="Garamond" w:cs="Times New Roman"/>
          <w:lang w:val="en-US"/>
        </w:rPr>
        <w:t xml:space="preserve"> understanding nuances of different arbitral rules,</w:t>
      </w:r>
      <w:r w:rsidRPr="007A7645">
        <w:rPr>
          <w:rFonts w:ascii="Garamond" w:hAnsi="Garamond" w:cs="Times New Roman"/>
          <w:lang w:val="en-US"/>
        </w:rPr>
        <w:t xml:space="preserve"> </w:t>
      </w:r>
      <w:r w:rsidR="00772D9F">
        <w:rPr>
          <w:rFonts w:ascii="Garamond" w:hAnsi="Garamond" w:cs="Times New Roman"/>
          <w:lang w:val="en-US"/>
        </w:rPr>
        <w:t xml:space="preserve">third-party </w:t>
      </w:r>
      <w:r w:rsidRPr="007A7645">
        <w:rPr>
          <w:rFonts w:ascii="Garamond" w:hAnsi="Garamond" w:cs="Times New Roman"/>
          <w:lang w:val="en-US"/>
        </w:rPr>
        <w:t>funding, esti</w:t>
      </w:r>
      <w:r w:rsidR="00772D9F">
        <w:rPr>
          <w:rFonts w:ascii="Garamond" w:hAnsi="Garamond" w:cs="Times New Roman"/>
          <w:lang w:val="en-US"/>
        </w:rPr>
        <w:t>mation of damages, and enforcement and monetizing the arbitral award.</w:t>
      </w:r>
    </w:p>
    <w:p w14:paraId="10AB437E" w14:textId="77777777" w:rsidR="003E307B" w:rsidRDefault="009506AA" w:rsidP="000311FD">
      <w:pPr>
        <w:spacing w:after="120"/>
        <w:jc w:val="both"/>
        <w:rPr>
          <w:rFonts w:ascii="Garamond" w:hAnsi="Garamond" w:cs="Times New Roman"/>
          <w:lang w:val="en-US"/>
        </w:rPr>
      </w:pPr>
      <w:r w:rsidRPr="007A7645">
        <w:rPr>
          <w:rFonts w:ascii="Garamond" w:hAnsi="Garamond" w:cs="Times New Roman"/>
          <w:noProof/>
          <w:lang w:val="en-US"/>
        </w:rPr>
        <w:lastRenderedPageBreak/>
        <w:drawing>
          <wp:anchor distT="0" distB="0" distL="114300" distR="114300" simplePos="0" relativeHeight="251668480" behindDoc="0" locked="0" layoutInCell="1" allowOverlap="1" wp14:anchorId="499FBD8A" wp14:editId="103725F6">
            <wp:simplePos x="0" y="0"/>
            <wp:positionH relativeFrom="margin">
              <wp:posOffset>3159125</wp:posOffset>
            </wp:positionH>
            <wp:positionV relativeFrom="paragraph">
              <wp:posOffset>59401</wp:posOffset>
            </wp:positionV>
            <wp:extent cx="2784475" cy="185547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9j5nNNK-X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4475" cy="1855470"/>
                    </a:xfrm>
                    <a:prstGeom prst="rect">
                      <a:avLst/>
                    </a:prstGeom>
                  </pic:spPr>
                </pic:pic>
              </a:graphicData>
            </a:graphic>
            <wp14:sizeRelV relativeFrom="margin">
              <wp14:pctHeight>0</wp14:pctHeight>
            </wp14:sizeRelV>
          </wp:anchor>
        </w:drawing>
      </w:r>
      <w:r w:rsidR="004A02EF" w:rsidRPr="007A7645">
        <w:rPr>
          <w:rFonts w:ascii="Garamond" w:hAnsi="Garamond" w:cs="Times New Roman"/>
          <w:lang w:val="en-US"/>
        </w:rPr>
        <w:t xml:space="preserve">The program kicked off with a thought-provoking keynote address by </w:t>
      </w:r>
      <w:r w:rsidR="00DC0F3E" w:rsidRPr="007A7645">
        <w:rPr>
          <w:rFonts w:ascii="Garamond" w:hAnsi="Garamond" w:cs="Times New Roman"/>
          <w:b/>
          <w:bCs/>
          <w:lang w:val="en-US"/>
        </w:rPr>
        <w:t>Mahnaz Malik</w:t>
      </w:r>
      <w:r w:rsidR="00DC0F3E" w:rsidRPr="007A7645">
        <w:rPr>
          <w:rFonts w:ascii="Garamond" w:hAnsi="Garamond" w:cs="Times New Roman"/>
          <w:lang w:val="en-US"/>
        </w:rPr>
        <w:t xml:space="preserve"> (Twenty Essex)</w:t>
      </w:r>
      <w:r w:rsidR="004A02EF" w:rsidRPr="007A7645">
        <w:rPr>
          <w:rFonts w:ascii="Garamond" w:hAnsi="Garamond" w:cs="Times New Roman"/>
          <w:lang w:val="en-US"/>
        </w:rPr>
        <w:t xml:space="preserve">. </w:t>
      </w:r>
      <w:r w:rsidR="009A3647">
        <w:rPr>
          <w:rFonts w:ascii="Garamond" w:hAnsi="Garamond" w:cs="Times New Roman"/>
          <w:lang w:val="en-US"/>
        </w:rPr>
        <w:t>Ms. Malik</w:t>
      </w:r>
      <w:r w:rsidR="004A02EF" w:rsidRPr="007A7645">
        <w:rPr>
          <w:rFonts w:ascii="Garamond" w:hAnsi="Garamond" w:cs="Times New Roman"/>
          <w:lang w:val="en-US"/>
        </w:rPr>
        <w:t xml:space="preserve"> took the audience on a </w:t>
      </w:r>
      <w:r w:rsidR="004C017E" w:rsidRPr="007A7645">
        <w:rPr>
          <w:rFonts w:ascii="Garamond" w:hAnsi="Garamond" w:cs="Times New Roman"/>
          <w:lang w:val="en-US"/>
        </w:rPr>
        <w:t>journey</w:t>
      </w:r>
      <w:r w:rsidR="004A02EF" w:rsidRPr="007A7645">
        <w:rPr>
          <w:rFonts w:ascii="Garamond" w:hAnsi="Garamond" w:cs="Times New Roman"/>
          <w:lang w:val="en-US"/>
        </w:rPr>
        <w:t xml:space="preserve"> through the </w:t>
      </w:r>
      <w:r w:rsidR="004C017E" w:rsidRPr="007A7645">
        <w:rPr>
          <w:rFonts w:ascii="Garamond" w:hAnsi="Garamond" w:cs="Times New Roman"/>
          <w:lang w:val="en-US"/>
        </w:rPr>
        <w:t xml:space="preserve">pivotal </w:t>
      </w:r>
      <w:r w:rsidR="00DC0F3E" w:rsidRPr="007A7645">
        <w:rPr>
          <w:rFonts w:ascii="Garamond" w:hAnsi="Garamond" w:cs="Times New Roman"/>
          <w:lang w:val="en-US"/>
        </w:rPr>
        <w:t xml:space="preserve">in the history of international arbitration, </w:t>
      </w:r>
      <w:r w:rsidR="004C017E" w:rsidRPr="007A7645">
        <w:rPr>
          <w:rFonts w:ascii="Garamond" w:hAnsi="Garamond" w:cs="Times New Roman"/>
          <w:lang w:val="en-US"/>
        </w:rPr>
        <w:t xml:space="preserve">reflecting on </w:t>
      </w:r>
      <w:r w:rsidR="00DC0F3E" w:rsidRPr="007A7645">
        <w:rPr>
          <w:rFonts w:ascii="Garamond" w:hAnsi="Garamond" w:cs="Times New Roman"/>
          <w:lang w:val="en-US"/>
        </w:rPr>
        <w:t xml:space="preserve">how we got here, and </w:t>
      </w:r>
      <w:r w:rsidR="004C017E" w:rsidRPr="007A7645">
        <w:rPr>
          <w:rFonts w:ascii="Garamond" w:hAnsi="Garamond" w:cs="Times New Roman"/>
          <w:lang w:val="en-US"/>
        </w:rPr>
        <w:t>what that means for where we are going in the field. She challenged listeners t</w:t>
      </w:r>
      <w:r>
        <w:rPr>
          <w:rFonts w:ascii="Garamond" w:hAnsi="Garamond" w:cs="Times New Roman"/>
          <w:lang w:val="en-US"/>
        </w:rPr>
        <w:t xml:space="preserve">o </w:t>
      </w:r>
      <w:r w:rsidRPr="009506AA">
        <w:rPr>
          <w:rFonts w:ascii="Garamond" w:hAnsi="Garamond" w:cs="Times New Roman"/>
          <w:lang w:val="en-US"/>
        </w:rPr>
        <w:t xml:space="preserve">understand the reasons behind the craze for arbitration nowadays. Starting from the observation that different countries in the 1980s used arbitration as a means of attracting investors with promises of fair treatment, Ms. Malik explained how arbitration became mainstream, while cautioning against the backlash expressed </w:t>
      </w:r>
      <w:r w:rsidR="0056171A">
        <w:rPr>
          <w:rFonts w:ascii="Garamond" w:hAnsi="Garamond" w:cs="Times New Roman"/>
          <w:lang w:val="en-US"/>
        </w:rPr>
        <w:t xml:space="preserve">recently </w:t>
      </w:r>
      <w:r w:rsidRPr="009506AA">
        <w:rPr>
          <w:rFonts w:ascii="Garamond" w:hAnsi="Garamond" w:cs="Times New Roman"/>
          <w:lang w:val="en-US"/>
        </w:rPr>
        <w:t xml:space="preserve">by courts, such as in the </w:t>
      </w:r>
      <w:proofErr w:type="spellStart"/>
      <w:r w:rsidRPr="000108A9">
        <w:rPr>
          <w:rFonts w:ascii="Garamond" w:hAnsi="Garamond" w:cs="Times New Roman"/>
          <w:i/>
          <w:lang w:val="en-US"/>
        </w:rPr>
        <w:t>Achmea</w:t>
      </w:r>
      <w:proofErr w:type="spellEnd"/>
      <w:r w:rsidRPr="009506AA">
        <w:rPr>
          <w:rFonts w:ascii="Garamond" w:hAnsi="Garamond" w:cs="Times New Roman"/>
          <w:lang w:val="en-US"/>
        </w:rPr>
        <w:t xml:space="preserve"> case where intra-EU BITs </w:t>
      </w:r>
      <w:r w:rsidR="000108A9">
        <w:rPr>
          <w:rFonts w:ascii="Garamond" w:hAnsi="Garamond" w:cs="Times New Roman"/>
          <w:lang w:val="en-US"/>
        </w:rPr>
        <w:t>were</w:t>
      </w:r>
      <w:r w:rsidR="009A3647">
        <w:rPr>
          <w:rFonts w:ascii="Garamond" w:hAnsi="Garamond" w:cs="Times New Roman"/>
          <w:lang w:val="en-US"/>
        </w:rPr>
        <w:t xml:space="preserve"> recognized </w:t>
      </w:r>
      <w:r w:rsidR="000108A9">
        <w:rPr>
          <w:rFonts w:ascii="Garamond" w:hAnsi="Garamond" w:cs="Times New Roman"/>
          <w:lang w:val="en-US"/>
        </w:rPr>
        <w:t xml:space="preserve">as </w:t>
      </w:r>
      <w:r w:rsidRPr="009506AA">
        <w:rPr>
          <w:rFonts w:ascii="Garamond" w:hAnsi="Garamond" w:cs="Times New Roman"/>
          <w:lang w:val="en-US"/>
        </w:rPr>
        <w:t>incompatible with EU law</w:t>
      </w:r>
      <w:r w:rsidR="007A6D03">
        <w:rPr>
          <w:rFonts w:ascii="Garamond" w:hAnsi="Garamond" w:cs="Times New Roman"/>
          <w:lang w:val="en-US"/>
        </w:rPr>
        <w:t xml:space="preserve">, </w:t>
      </w:r>
      <w:r w:rsidR="007A6D03" w:rsidRPr="007A6D03">
        <w:rPr>
          <w:rFonts w:ascii="Garamond" w:hAnsi="Garamond" w:cs="Times New Roman"/>
          <w:lang w:val="en-US"/>
        </w:rPr>
        <w:t>causing turmoil across an continent</w:t>
      </w:r>
      <w:r w:rsidR="007A6D03">
        <w:rPr>
          <w:rFonts w:ascii="Garamond" w:hAnsi="Garamond" w:cs="Times New Roman"/>
          <w:lang w:val="en-US"/>
        </w:rPr>
        <w:t>.</w:t>
      </w:r>
    </w:p>
    <w:p w14:paraId="1548EEF3" w14:textId="77777777" w:rsidR="007A6D03" w:rsidRDefault="007A6D03" w:rsidP="000311FD">
      <w:pPr>
        <w:spacing w:after="120"/>
        <w:jc w:val="both"/>
        <w:rPr>
          <w:rFonts w:ascii="Garamond" w:hAnsi="Garamond" w:cs="Times New Roman"/>
          <w:lang w:val="en-US"/>
        </w:rPr>
      </w:pPr>
    </w:p>
    <w:p w14:paraId="2A03A045" w14:textId="77777777" w:rsidR="003E307B" w:rsidRDefault="00B6385D" w:rsidP="000311FD">
      <w:pPr>
        <w:spacing w:after="120"/>
        <w:jc w:val="both"/>
        <w:rPr>
          <w:rFonts w:ascii="Garamond" w:hAnsi="Garamond" w:cs="Times New Roman"/>
          <w:lang w:val="en-US"/>
        </w:rPr>
      </w:pPr>
      <w:r w:rsidRPr="007A7645">
        <w:rPr>
          <w:rFonts w:ascii="Garamond" w:hAnsi="Garamond" w:cs="Times New Roman"/>
          <w:noProof/>
          <w:lang w:val="en-US"/>
        </w:rPr>
        <w:drawing>
          <wp:anchor distT="0" distB="0" distL="114300" distR="114300" simplePos="0" relativeHeight="251662336" behindDoc="0" locked="0" layoutInCell="1" allowOverlap="1" wp14:anchorId="2EB80524" wp14:editId="64AA0773">
            <wp:simplePos x="0" y="0"/>
            <wp:positionH relativeFrom="margin">
              <wp:align>left</wp:align>
            </wp:positionH>
            <wp:positionV relativeFrom="paragraph">
              <wp:posOffset>14605</wp:posOffset>
            </wp:positionV>
            <wp:extent cx="2897505" cy="17373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3qrZJP-X2.jpg"/>
                    <pic:cNvPicPr/>
                  </pic:nvPicPr>
                  <pic:blipFill rotWithShape="1">
                    <a:blip r:embed="rId12" cstate="print">
                      <a:extLst>
                        <a:ext uri="{28A0092B-C50C-407E-A947-70E740481C1C}">
                          <a14:useLocalDpi xmlns:a14="http://schemas.microsoft.com/office/drawing/2010/main" val="0"/>
                        </a:ext>
                      </a:extLst>
                    </a:blip>
                    <a:srcRect l="5587" t="15084"/>
                    <a:stretch/>
                  </pic:blipFill>
                  <pic:spPr bwMode="auto">
                    <a:xfrm>
                      <a:off x="0" y="0"/>
                      <a:ext cx="2897505"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F4A" w:rsidRPr="007A7645">
        <w:rPr>
          <w:rFonts w:ascii="Garamond" w:hAnsi="Garamond" w:cs="Times New Roman"/>
          <w:lang w:val="en-US"/>
        </w:rPr>
        <w:t xml:space="preserve">The first panel, </w:t>
      </w:r>
      <w:r w:rsidR="00D54F4A" w:rsidRPr="007A7645">
        <w:rPr>
          <w:rFonts w:ascii="Garamond" w:hAnsi="Garamond" w:cs="Times New Roman"/>
          <w:i/>
          <w:lang w:val="en-US"/>
        </w:rPr>
        <w:t>Tips &amp; Tricks: Strategic Considerations for Successful Arbitration</w:t>
      </w:r>
      <w:r w:rsidR="00D54F4A" w:rsidRPr="007A7645">
        <w:rPr>
          <w:rFonts w:ascii="Garamond" w:hAnsi="Garamond" w:cs="Times New Roman"/>
          <w:lang w:val="en-US"/>
        </w:rPr>
        <w:t xml:space="preserve">, explored pre-arbitration recommendations within the confines of a governing arbitration provision. Moderated by </w:t>
      </w:r>
      <w:r w:rsidR="00D54F4A" w:rsidRPr="007A7645">
        <w:rPr>
          <w:rFonts w:ascii="Garamond" w:hAnsi="Garamond" w:cs="Times New Roman"/>
          <w:b/>
          <w:bCs/>
          <w:lang w:val="en-US"/>
        </w:rPr>
        <w:t>Nicole Y. Silver</w:t>
      </w:r>
      <w:r w:rsidR="00D54F4A" w:rsidRPr="007A7645">
        <w:rPr>
          <w:rFonts w:ascii="Garamond" w:hAnsi="Garamond" w:cs="Times New Roman"/>
          <w:lang w:val="en-US"/>
        </w:rPr>
        <w:t xml:space="preserve"> (Greenberg Traurig LLP), this panel offered insider recommendations </w:t>
      </w:r>
      <w:r w:rsidR="00BE2823" w:rsidRPr="007A7645">
        <w:rPr>
          <w:rFonts w:ascii="Garamond" w:hAnsi="Garamond" w:cs="Times New Roman"/>
          <w:lang w:val="en-US"/>
        </w:rPr>
        <w:t>that are useful in an environment where</w:t>
      </w:r>
      <w:r w:rsidR="00D54F4A" w:rsidRPr="007A7645">
        <w:rPr>
          <w:rFonts w:ascii="Garamond" w:hAnsi="Garamond" w:cs="Times New Roman"/>
          <w:lang w:val="en-US"/>
        </w:rPr>
        <w:t xml:space="preserve"> parties </w:t>
      </w:r>
      <w:r w:rsidR="00BE2823" w:rsidRPr="007A7645">
        <w:rPr>
          <w:rFonts w:ascii="Garamond" w:hAnsi="Garamond" w:cs="Times New Roman"/>
          <w:lang w:val="en-US"/>
        </w:rPr>
        <w:t xml:space="preserve">are </w:t>
      </w:r>
      <w:r w:rsidR="00D54F4A" w:rsidRPr="007A7645">
        <w:rPr>
          <w:rFonts w:ascii="Garamond" w:hAnsi="Garamond" w:cs="Times New Roman"/>
          <w:lang w:val="en-US"/>
        </w:rPr>
        <w:t xml:space="preserve">increasingly </w:t>
      </w:r>
      <w:r w:rsidR="00BE2823" w:rsidRPr="007A7645">
        <w:rPr>
          <w:rFonts w:ascii="Garamond" w:hAnsi="Garamond" w:cs="Times New Roman"/>
          <w:lang w:val="en-US"/>
        </w:rPr>
        <w:t xml:space="preserve">turning </w:t>
      </w:r>
      <w:r w:rsidR="00D54F4A" w:rsidRPr="007A7645">
        <w:rPr>
          <w:rFonts w:ascii="Garamond" w:hAnsi="Garamond" w:cs="Times New Roman"/>
          <w:lang w:val="en-US"/>
        </w:rPr>
        <w:t>to arbitration to resolve international and domestic disputes</w:t>
      </w:r>
      <w:r w:rsidR="00BE2823" w:rsidRPr="007A7645">
        <w:rPr>
          <w:rFonts w:ascii="Garamond" w:hAnsi="Garamond" w:cs="Times New Roman"/>
          <w:lang w:val="en-US"/>
        </w:rPr>
        <w:t xml:space="preserve">. </w:t>
      </w:r>
      <w:r w:rsidR="00D54F4A" w:rsidRPr="007A7645">
        <w:rPr>
          <w:rFonts w:ascii="Garamond" w:hAnsi="Garamond" w:cs="Times New Roman"/>
          <w:lang w:val="en-US"/>
        </w:rPr>
        <w:t xml:space="preserve">The panel, composed of </w:t>
      </w:r>
      <w:r w:rsidR="00D54F4A" w:rsidRPr="007A7645">
        <w:rPr>
          <w:rFonts w:ascii="Garamond" w:hAnsi="Garamond" w:cs="Times New Roman"/>
          <w:b/>
          <w:bCs/>
          <w:lang w:val="en-US"/>
        </w:rPr>
        <w:t>Paul Brooks</w:t>
      </w:r>
      <w:r w:rsidR="00D54F4A" w:rsidRPr="007A7645">
        <w:rPr>
          <w:rFonts w:ascii="Garamond" w:hAnsi="Garamond" w:cs="Times New Roman"/>
          <w:lang w:val="en-US"/>
        </w:rPr>
        <w:t xml:space="preserve"> (The Claro Group), </w:t>
      </w:r>
      <w:r w:rsidR="00D54F4A" w:rsidRPr="007A7645">
        <w:rPr>
          <w:rFonts w:ascii="Garamond" w:hAnsi="Garamond" w:cs="Times New Roman"/>
          <w:b/>
          <w:bCs/>
          <w:lang w:val="en-US"/>
        </w:rPr>
        <w:t>Alex Kaplan</w:t>
      </w:r>
      <w:r w:rsidR="00D54F4A" w:rsidRPr="007A7645">
        <w:rPr>
          <w:rFonts w:ascii="Garamond" w:hAnsi="Garamond" w:cs="Times New Roman"/>
          <w:lang w:val="en-US"/>
        </w:rPr>
        <w:t xml:space="preserve"> (ICSID), and </w:t>
      </w:r>
      <w:r w:rsidR="00D54F4A" w:rsidRPr="007A7645">
        <w:rPr>
          <w:rFonts w:ascii="Garamond" w:hAnsi="Garamond" w:cs="Times New Roman"/>
          <w:b/>
          <w:bCs/>
          <w:lang w:val="en-US"/>
        </w:rPr>
        <w:t>Ben Love</w:t>
      </w:r>
      <w:r w:rsidR="00D54F4A" w:rsidRPr="007A7645">
        <w:rPr>
          <w:rFonts w:ascii="Garamond" w:hAnsi="Garamond" w:cs="Times New Roman"/>
          <w:lang w:val="en-US"/>
        </w:rPr>
        <w:t xml:space="preserve"> (Reed Smith LLP), covered topics including settlement and mediation, working with in-house counsel to develop facts and the legal claims, calculating damages in advance of filing a request for arbitration, and planning the arbitral process itself. </w:t>
      </w:r>
    </w:p>
    <w:p w14:paraId="68282F30" w14:textId="77777777" w:rsidR="00B6385D" w:rsidRPr="007A7645" w:rsidRDefault="007A7645" w:rsidP="000311FD">
      <w:pPr>
        <w:spacing w:after="120"/>
        <w:jc w:val="both"/>
        <w:rPr>
          <w:rFonts w:ascii="Garamond" w:hAnsi="Garamond" w:cs="Times New Roman"/>
          <w:lang w:val="en-US"/>
        </w:rPr>
      </w:pPr>
      <w:r w:rsidRPr="007A7645">
        <w:rPr>
          <w:rFonts w:ascii="Garamond" w:hAnsi="Garamond" w:cs="Times New Roman"/>
          <w:noProof/>
          <w:lang w:val="en-US"/>
        </w:rPr>
        <w:drawing>
          <wp:anchor distT="0" distB="0" distL="114300" distR="114300" simplePos="0" relativeHeight="251661312" behindDoc="0" locked="0" layoutInCell="1" allowOverlap="1" wp14:anchorId="69ECAAA8" wp14:editId="375BCDBE">
            <wp:simplePos x="0" y="0"/>
            <wp:positionH relativeFrom="margin">
              <wp:posOffset>0</wp:posOffset>
            </wp:positionH>
            <wp:positionV relativeFrom="paragraph">
              <wp:posOffset>70408</wp:posOffset>
            </wp:positionV>
            <wp:extent cx="2778760" cy="1969770"/>
            <wp:effectExtent l="0" t="0" r="254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2xtX4bM-X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8760" cy="1969770"/>
                    </a:xfrm>
                    <a:prstGeom prst="rect">
                      <a:avLst/>
                    </a:prstGeom>
                  </pic:spPr>
                </pic:pic>
              </a:graphicData>
            </a:graphic>
            <wp14:sizeRelH relativeFrom="margin">
              <wp14:pctWidth>0</wp14:pctWidth>
            </wp14:sizeRelH>
            <wp14:sizeRelV relativeFrom="margin">
              <wp14:pctHeight>0</wp14:pctHeight>
            </wp14:sizeRelV>
          </wp:anchor>
        </w:drawing>
      </w:r>
      <w:r w:rsidR="00BE2823" w:rsidRPr="007A7645">
        <w:rPr>
          <w:rFonts w:ascii="Garamond" w:hAnsi="Garamond" w:cs="Times New Roman"/>
          <w:lang w:val="en-US"/>
        </w:rPr>
        <w:t>The Symposium’s second session,</w:t>
      </w:r>
      <w:r w:rsidR="00BE2823" w:rsidRPr="00F62F7E">
        <w:rPr>
          <w:rFonts w:ascii="Garamond" w:hAnsi="Garamond"/>
          <w:lang w:val="en-US"/>
        </w:rPr>
        <w:t xml:space="preserve"> </w:t>
      </w:r>
      <w:r w:rsidR="00BE2823" w:rsidRPr="007A7645">
        <w:rPr>
          <w:rFonts w:ascii="Garamond" w:hAnsi="Garamond" w:cs="Times New Roman"/>
          <w:i/>
          <w:lang w:val="en-US"/>
        </w:rPr>
        <w:t>Challenging and Enforcing Arbitration Awards</w:t>
      </w:r>
      <w:r w:rsidR="00BE2823" w:rsidRPr="007A7645">
        <w:rPr>
          <w:rFonts w:ascii="Garamond" w:hAnsi="Garamond" w:cs="Times New Roman"/>
          <w:lang w:val="en-US"/>
        </w:rPr>
        <w:t xml:space="preserve">, was moderated by </w:t>
      </w:r>
      <w:r w:rsidR="007D3A95" w:rsidRPr="007A7645">
        <w:rPr>
          <w:rFonts w:ascii="Garamond" w:hAnsi="Garamond" w:cs="Times New Roman"/>
          <w:b/>
          <w:bCs/>
          <w:lang w:val="en-US"/>
        </w:rPr>
        <w:t>Miloš Ivković</w:t>
      </w:r>
      <w:r w:rsidR="00BE2823" w:rsidRPr="007A7645">
        <w:rPr>
          <w:rFonts w:ascii="Garamond" w:hAnsi="Garamond" w:cs="Times New Roman"/>
          <w:lang w:val="en-US"/>
        </w:rPr>
        <w:t xml:space="preserve">. </w:t>
      </w:r>
      <w:r w:rsidR="001B2F3F" w:rsidRPr="007A7645">
        <w:rPr>
          <w:rFonts w:ascii="Garamond" w:hAnsi="Garamond" w:cs="Times New Roman"/>
          <w:lang w:val="en-US"/>
        </w:rPr>
        <w:t xml:space="preserve">The arbitral process results in a final and binding award that has immediate legal effects and creates immediate rights and obligations for the disputing parties. Nevertheless, one or both parties sometimes refuse to comply with the arbitral award. In this panel, </w:t>
      </w:r>
      <w:r w:rsidR="001B2F3F" w:rsidRPr="007A7645">
        <w:rPr>
          <w:rFonts w:ascii="Garamond" w:hAnsi="Garamond" w:cs="Times New Roman"/>
          <w:b/>
          <w:bCs/>
          <w:lang w:val="en-US"/>
        </w:rPr>
        <w:t>Patrick Dempsey</w:t>
      </w:r>
      <w:r w:rsidR="001B2F3F" w:rsidRPr="007A7645">
        <w:rPr>
          <w:rFonts w:ascii="Garamond" w:hAnsi="Garamond" w:cs="Times New Roman"/>
          <w:lang w:val="en-US"/>
        </w:rPr>
        <w:t xml:space="preserve"> (Therium Capital Management), </w:t>
      </w:r>
      <w:r w:rsidR="001B2F3F" w:rsidRPr="007A7645">
        <w:rPr>
          <w:rFonts w:ascii="Garamond" w:hAnsi="Garamond" w:cs="Times New Roman"/>
          <w:b/>
          <w:bCs/>
          <w:lang w:val="en-US"/>
        </w:rPr>
        <w:t>Nicole Dolenz</w:t>
      </w:r>
      <w:r w:rsidR="001B2F3F" w:rsidRPr="007A7645">
        <w:rPr>
          <w:rFonts w:ascii="Garamond" w:hAnsi="Garamond" w:cs="Times New Roman"/>
          <w:lang w:val="en-US"/>
        </w:rPr>
        <w:t xml:space="preserve"> (Orrick Herrington &amp; Sutcliffe LLP)</w:t>
      </w:r>
      <w:r w:rsidR="000D564A">
        <w:rPr>
          <w:rFonts w:ascii="Garamond" w:hAnsi="Garamond" w:cs="Times New Roman"/>
          <w:lang w:val="en-US"/>
        </w:rPr>
        <w:t>,</w:t>
      </w:r>
      <w:r w:rsidR="001B2F3F" w:rsidRPr="007A7645">
        <w:rPr>
          <w:rFonts w:ascii="Garamond" w:hAnsi="Garamond" w:cs="Times New Roman"/>
          <w:lang w:val="en-US"/>
        </w:rPr>
        <w:t xml:space="preserve"> and </w:t>
      </w:r>
      <w:r w:rsidR="001B2F3F" w:rsidRPr="007A7645">
        <w:rPr>
          <w:rFonts w:ascii="Garamond" w:hAnsi="Garamond" w:cs="Times New Roman"/>
          <w:b/>
          <w:bCs/>
          <w:lang w:val="en-US"/>
        </w:rPr>
        <w:t>M. Imad Khan</w:t>
      </w:r>
      <w:r w:rsidR="001B2F3F" w:rsidRPr="007A7645">
        <w:rPr>
          <w:rFonts w:ascii="Garamond" w:hAnsi="Garamond" w:cs="Times New Roman"/>
          <w:lang w:val="en-US"/>
        </w:rPr>
        <w:t xml:space="preserve"> (Winston &amp; Strawn LLP) addressed the legal and practical hurdles parties face when challenging or enforcing awards rendered in international investment and commercial arbitral proceedings, including the legal frameworks applicable to setting aside or annulling an arbitral award, the recognition and enforcement of awards, and the practicalities o</w:t>
      </w:r>
      <w:r w:rsidR="000D564A">
        <w:rPr>
          <w:rFonts w:ascii="Garamond" w:hAnsi="Garamond" w:cs="Times New Roman"/>
          <w:lang w:val="en-US"/>
        </w:rPr>
        <w:t>f monetizing an arbitral award.</w:t>
      </w:r>
      <w:r w:rsidR="001B2F3F" w:rsidRPr="007A7645">
        <w:rPr>
          <w:rFonts w:ascii="Garamond" w:hAnsi="Garamond" w:cs="Times New Roman"/>
          <w:lang w:val="en-US"/>
        </w:rPr>
        <w:t xml:space="preserve"> </w:t>
      </w:r>
    </w:p>
    <w:p w14:paraId="68A72026" w14:textId="77777777" w:rsidR="001B2F3F" w:rsidRPr="007A7645" w:rsidRDefault="00BE2823" w:rsidP="000311FD">
      <w:pPr>
        <w:spacing w:after="120"/>
        <w:jc w:val="both"/>
        <w:rPr>
          <w:rFonts w:ascii="Garamond" w:hAnsi="Garamond" w:cs="Times New Roman"/>
          <w:lang w:val="en-US"/>
        </w:rPr>
      </w:pPr>
      <w:r w:rsidRPr="007A7645">
        <w:rPr>
          <w:rFonts w:ascii="Garamond" w:hAnsi="Garamond" w:cs="Times New Roman"/>
          <w:noProof/>
          <w:lang w:val="en-US"/>
        </w:rPr>
        <w:lastRenderedPageBreak/>
        <w:drawing>
          <wp:anchor distT="0" distB="0" distL="114300" distR="114300" simplePos="0" relativeHeight="251663360" behindDoc="0" locked="0" layoutInCell="1" allowOverlap="1" wp14:anchorId="57F0BC47" wp14:editId="4973C9DB">
            <wp:simplePos x="0" y="0"/>
            <wp:positionH relativeFrom="margin">
              <wp:align>left</wp:align>
            </wp:positionH>
            <wp:positionV relativeFrom="paragraph">
              <wp:posOffset>11430</wp:posOffset>
            </wp:positionV>
            <wp:extent cx="3220085" cy="2146935"/>
            <wp:effectExtent l="0" t="0" r="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Z2624-X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0085" cy="2146935"/>
                    </a:xfrm>
                    <a:prstGeom prst="rect">
                      <a:avLst/>
                    </a:prstGeom>
                  </pic:spPr>
                </pic:pic>
              </a:graphicData>
            </a:graphic>
            <wp14:sizeRelH relativeFrom="margin">
              <wp14:pctWidth>0</wp14:pctWidth>
            </wp14:sizeRelH>
            <wp14:sizeRelV relativeFrom="margin">
              <wp14:pctHeight>0</wp14:pctHeight>
            </wp14:sizeRelV>
          </wp:anchor>
        </w:drawing>
      </w:r>
      <w:r w:rsidR="00DD60AF" w:rsidRPr="007A7645">
        <w:rPr>
          <w:rFonts w:ascii="Garamond" w:hAnsi="Garamond" w:cs="Times New Roman"/>
          <w:lang w:val="en-US"/>
        </w:rPr>
        <w:t xml:space="preserve">The </w:t>
      </w:r>
      <w:r w:rsidR="00D54F4A" w:rsidRPr="007A7645">
        <w:rPr>
          <w:rFonts w:ascii="Garamond" w:hAnsi="Garamond" w:cs="Times New Roman"/>
          <w:lang w:val="en-US"/>
        </w:rPr>
        <w:t xml:space="preserve">day’s </w:t>
      </w:r>
      <w:r w:rsidR="00DD60AF" w:rsidRPr="007A7645">
        <w:rPr>
          <w:rFonts w:ascii="Garamond" w:hAnsi="Garamond" w:cs="Times New Roman"/>
          <w:lang w:val="en-US"/>
        </w:rPr>
        <w:t>program concluded with a</w:t>
      </w:r>
      <w:r w:rsidR="007D3A95" w:rsidRPr="007A7645">
        <w:rPr>
          <w:rFonts w:ascii="Garamond" w:hAnsi="Garamond" w:cs="Times New Roman"/>
          <w:lang w:val="en-US"/>
        </w:rPr>
        <w:t xml:space="preserve"> Mock Appellate Argument on compelling arbitration under U.S. Law. </w:t>
      </w:r>
      <w:r w:rsidR="00AE2792" w:rsidRPr="007A7645">
        <w:rPr>
          <w:rFonts w:ascii="Garamond" w:hAnsi="Garamond" w:cs="Times New Roman"/>
          <w:b/>
          <w:bCs/>
          <w:lang w:val="en-US"/>
        </w:rPr>
        <w:t>Frédéric G. Sourgens</w:t>
      </w:r>
      <w:r w:rsidR="007D3A95" w:rsidRPr="007A7645">
        <w:rPr>
          <w:rFonts w:ascii="Garamond" w:hAnsi="Garamond" w:cs="Times New Roman"/>
          <w:lang w:val="en-US"/>
        </w:rPr>
        <w:t xml:space="preserve"> (</w:t>
      </w:r>
      <w:r w:rsidR="00AE2792" w:rsidRPr="007A7645">
        <w:rPr>
          <w:rFonts w:ascii="Garamond" w:hAnsi="Garamond" w:cs="Times New Roman"/>
          <w:lang w:val="en-US"/>
        </w:rPr>
        <w:t>Washburn University School of Law</w:t>
      </w:r>
      <w:r w:rsidR="00DD60AF" w:rsidRPr="007A7645">
        <w:rPr>
          <w:rFonts w:ascii="Garamond" w:hAnsi="Garamond" w:cs="Times New Roman"/>
          <w:lang w:val="en-US"/>
        </w:rPr>
        <w:t xml:space="preserve">) drafted the problem, which </w:t>
      </w:r>
      <w:r w:rsidR="00372E8C">
        <w:rPr>
          <w:rFonts w:ascii="Garamond" w:hAnsi="Garamond" w:cs="Times New Roman"/>
          <w:lang w:val="en-US"/>
        </w:rPr>
        <w:t>explored</w:t>
      </w:r>
      <w:r w:rsidR="00372E8C" w:rsidRPr="00372E8C">
        <w:rPr>
          <w:rFonts w:ascii="Garamond" w:hAnsi="Garamond" w:cs="Times New Roman"/>
          <w:lang w:val="en-US"/>
        </w:rPr>
        <w:t xml:space="preserve"> the problems facing counsel and judges in enforcing arbitration agreements</w:t>
      </w:r>
      <w:r w:rsidR="00372E8C">
        <w:rPr>
          <w:rFonts w:ascii="Garamond" w:hAnsi="Garamond" w:cs="Times New Roman"/>
          <w:lang w:val="en-US"/>
        </w:rPr>
        <w:t xml:space="preserve">. </w:t>
      </w:r>
      <w:r w:rsidR="00AE2792" w:rsidRPr="007A7645">
        <w:rPr>
          <w:rFonts w:ascii="Garamond" w:hAnsi="Garamond" w:cs="Times New Roman"/>
          <w:b/>
          <w:bCs/>
          <w:lang w:val="en-US"/>
        </w:rPr>
        <w:t>Heaven Chee</w:t>
      </w:r>
      <w:r w:rsidR="007D3A95" w:rsidRPr="007A7645">
        <w:rPr>
          <w:rFonts w:ascii="Garamond" w:hAnsi="Garamond" w:cs="Times New Roman"/>
          <w:lang w:val="en-US"/>
        </w:rPr>
        <w:t xml:space="preserve"> (</w:t>
      </w:r>
      <w:proofErr w:type="spellStart"/>
      <w:r w:rsidR="00AE2792" w:rsidRPr="007A7645">
        <w:rPr>
          <w:rFonts w:ascii="Garamond" w:hAnsi="Garamond" w:cs="Times New Roman"/>
          <w:lang w:val="en-US"/>
        </w:rPr>
        <w:t>Yetter</w:t>
      </w:r>
      <w:proofErr w:type="spellEnd"/>
      <w:r w:rsidR="00AE2792" w:rsidRPr="007A7645">
        <w:rPr>
          <w:rFonts w:ascii="Garamond" w:hAnsi="Garamond" w:cs="Times New Roman"/>
          <w:lang w:val="en-US"/>
        </w:rPr>
        <w:t xml:space="preserve"> Coleman LLP</w:t>
      </w:r>
      <w:r w:rsidR="00DD60AF" w:rsidRPr="007A7645">
        <w:rPr>
          <w:rFonts w:ascii="Garamond" w:hAnsi="Garamond" w:cs="Times New Roman"/>
          <w:lang w:val="en-US"/>
        </w:rPr>
        <w:t xml:space="preserve">) played the role of </w:t>
      </w:r>
      <w:r w:rsidR="009A3647">
        <w:rPr>
          <w:rFonts w:ascii="Garamond" w:hAnsi="Garamond" w:cs="Times New Roman"/>
          <w:lang w:val="en-US"/>
        </w:rPr>
        <w:t xml:space="preserve">attorney for the </w:t>
      </w:r>
      <w:proofErr w:type="spellStart"/>
      <w:r w:rsidR="009A3647">
        <w:rPr>
          <w:rFonts w:ascii="Garamond" w:hAnsi="Garamond" w:cs="Times New Roman"/>
          <w:lang w:val="en-US"/>
        </w:rPr>
        <w:t>Plantiff</w:t>
      </w:r>
      <w:proofErr w:type="spellEnd"/>
      <w:r w:rsidR="009A3647">
        <w:rPr>
          <w:rFonts w:ascii="Garamond" w:hAnsi="Garamond" w:cs="Times New Roman"/>
          <w:lang w:val="en-US"/>
        </w:rPr>
        <w:t xml:space="preserve"> – </w:t>
      </w:r>
      <w:r w:rsidR="00372E8C">
        <w:rPr>
          <w:rFonts w:ascii="Garamond" w:hAnsi="Garamond" w:cs="Times New Roman"/>
          <w:lang w:val="en-US"/>
        </w:rPr>
        <w:t>a</w:t>
      </w:r>
      <w:r w:rsidR="00372E8C" w:rsidRPr="007A7645">
        <w:rPr>
          <w:rFonts w:ascii="Garamond" w:hAnsi="Garamond" w:cs="Times New Roman"/>
          <w:lang w:val="en-US"/>
        </w:rPr>
        <w:t xml:space="preserve"> British Columbia-based owner/operator of a hotel in Cancun, Mexico, </w:t>
      </w:r>
      <w:r w:rsidR="00372E8C">
        <w:rPr>
          <w:rFonts w:ascii="Garamond" w:hAnsi="Garamond" w:cs="Times New Roman"/>
          <w:lang w:val="en-US"/>
        </w:rPr>
        <w:t>which brought</w:t>
      </w:r>
      <w:r w:rsidR="00372E8C" w:rsidRPr="007A7645">
        <w:rPr>
          <w:rFonts w:ascii="Garamond" w:hAnsi="Garamond" w:cs="Times New Roman"/>
          <w:lang w:val="en-US"/>
        </w:rPr>
        <w:t xml:space="preserve"> suit in the U.S. District Court for the Eastern District of Missouri for violation of a hotel services agreement and for tortious interference with business. </w:t>
      </w:r>
      <w:r w:rsidR="00AE2792" w:rsidRPr="007A7645">
        <w:rPr>
          <w:rFonts w:ascii="Garamond" w:hAnsi="Garamond" w:cs="Times New Roman"/>
          <w:b/>
          <w:bCs/>
          <w:lang w:val="en-US"/>
        </w:rPr>
        <w:t>Victoria Sahani</w:t>
      </w:r>
      <w:r w:rsidR="007D3A95" w:rsidRPr="007A7645">
        <w:rPr>
          <w:rFonts w:ascii="Garamond" w:hAnsi="Garamond" w:cs="Times New Roman"/>
          <w:lang w:val="en-US"/>
        </w:rPr>
        <w:t xml:space="preserve"> (</w:t>
      </w:r>
      <w:r w:rsidR="00AE2792" w:rsidRPr="007A7645">
        <w:rPr>
          <w:rFonts w:ascii="Garamond" w:hAnsi="Garamond" w:cs="Times New Roman"/>
          <w:lang w:val="en-US"/>
        </w:rPr>
        <w:t>Sandra Day O’Connor College of Law, Arizona State University</w:t>
      </w:r>
      <w:r w:rsidR="007D3A95" w:rsidRPr="007A7645">
        <w:rPr>
          <w:rFonts w:ascii="Garamond" w:hAnsi="Garamond" w:cs="Times New Roman"/>
          <w:lang w:val="en-US"/>
        </w:rPr>
        <w:t>)</w:t>
      </w:r>
      <w:r w:rsidR="00DD60AF" w:rsidRPr="007A7645">
        <w:rPr>
          <w:rFonts w:ascii="Garamond" w:hAnsi="Garamond" w:cs="Times New Roman"/>
          <w:lang w:val="en-US"/>
        </w:rPr>
        <w:t xml:space="preserve"> represented the Defendant</w:t>
      </w:r>
      <w:r w:rsidR="00372E8C">
        <w:rPr>
          <w:rFonts w:ascii="Garamond" w:hAnsi="Garamond" w:cs="Times New Roman"/>
          <w:lang w:val="en-US"/>
        </w:rPr>
        <w:t xml:space="preserve"> – </w:t>
      </w:r>
      <w:r w:rsidR="00372E8C" w:rsidRPr="007A7645">
        <w:rPr>
          <w:rFonts w:ascii="Garamond" w:hAnsi="Garamond" w:cs="Times New Roman"/>
          <w:lang w:val="en-US"/>
        </w:rPr>
        <w:t xml:space="preserve">a Maryland-based hospitality company, </w:t>
      </w:r>
      <w:r w:rsidR="00372E8C">
        <w:rPr>
          <w:rFonts w:ascii="Garamond" w:hAnsi="Garamond" w:cs="Times New Roman"/>
          <w:lang w:val="en-US"/>
        </w:rPr>
        <w:t>which moved</w:t>
      </w:r>
      <w:r w:rsidR="00372E8C" w:rsidRPr="007A7645">
        <w:rPr>
          <w:rFonts w:ascii="Garamond" w:hAnsi="Garamond" w:cs="Times New Roman"/>
          <w:lang w:val="en-US"/>
        </w:rPr>
        <w:t xml:space="preserve"> to compel arbitration under the arbitration clause contained in the same agreem</w:t>
      </w:r>
      <w:r w:rsidR="00372E8C">
        <w:rPr>
          <w:rFonts w:ascii="Garamond" w:hAnsi="Garamond" w:cs="Times New Roman"/>
          <w:lang w:val="en-US"/>
        </w:rPr>
        <w:t>ent</w:t>
      </w:r>
      <w:r w:rsidR="00DD60AF" w:rsidRPr="007A7645">
        <w:rPr>
          <w:rFonts w:ascii="Garamond" w:hAnsi="Garamond" w:cs="Times New Roman"/>
          <w:lang w:val="en-US"/>
        </w:rPr>
        <w:t>.</w:t>
      </w:r>
      <w:r w:rsidR="007D3A95" w:rsidRPr="007A7645">
        <w:rPr>
          <w:rFonts w:ascii="Garamond" w:hAnsi="Garamond" w:cs="Times New Roman"/>
          <w:lang w:val="en-US"/>
        </w:rPr>
        <w:t xml:space="preserve"> </w:t>
      </w:r>
      <w:r w:rsidR="00372E8C">
        <w:rPr>
          <w:rFonts w:ascii="Garamond" w:hAnsi="Garamond" w:cs="Times New Roman"/>
          <w:lang w:val="en-US"/>
        </w:rPr>
        <w:t>The exercise took place after the</w:t>
      </w:r>
      <w:r w:rsidR="00372E8C" w:rsidRPr="00372E8C">
        <w:rPr>
          <w:rFonts w:ascii="Garamond" w:hAnsi="Garamond" w:cs="Times New Roman"/>
          <w:lang w:val="en-US"/>
        </w:rPr>
        <w:t xml:space="preserve"> </w:t>
      </w:r>
      <w:r w:rsidR="00372E8C" w:rsidRPr="007A7645">
        <w:rPr>
          <w:rFonts w:ascii="Garamond" w:hAnsi="Garamond" w:cs="Times New Roman"/>
          <w:lang w:val="en-US"/>
        </w:rPr>
        <w:t>District Court compels arbitration of the tort and the breach of contract claims based on the broadly worded arbitration clause and plaintiff appeals the order compelling arbitration.</w:t>
      </w:r>
      <w:r w:rsidR="00372E8C">
        <w:rPr>
          <w:rFonts w:ascii="Garamond" w:hAnsi="Garamond" w:cs="Times New Roman"/>
          <w:lang w:val="en-US"/>
        </w:rPr>
        <w:t xml:space="preserve"> The case was</w:t>
      </w:r>
      <w:r w:rsidR="00DD60AF" w:rsidRPr="007A7645">
        <w:rPr>
          <w:rFonts w:ascii="Garamond" w:hAnsi="Garamond" w:cs="Times New Roman"/>
          <w:lang w:val="en-US"/>
        </w:rPr>
        <w:t xml:space="preserve"> argued in front of an</w:t>
      </w:r>
      <w:r w:rsidR="007D3A95" w:rsidRPr="007A7645">
        <w:rPr>
          <w:rFonts w:ascii="Garamond" w:hAnsi="Garamond" w:cs="Times New Roman"/>
          <w:lang w:val="en-US"/>
        </w:rPr>
        <w:t xml:space="preserve"> </w:t>
      </w:r>
      <w:r w:rsidR="00DE77D1" w:rsidRPr="007A7645">
        <w:rPr>
          <w:rFonts w:ascii="Garamond" w:hAnsi="Garamond" w:cs="Times New Roman"/>
          <w:lang w:val="en-US"/>
        </w:rPr>
        <w:t>Appellate C</w:t>
      </w:r>
      <w:r w:rsidR="007D3A95" w:rsidRPr="007A7645">
        <w:rPr>
          <w:rFonts w:ascii="Garamond" w:hAnsi="Garamond" w:cs="Times New Roman"/>
          <w:lang w:val="en-US"/>
        </w:rPr>
        <w:t xml:space="preserve">ourt composed of </w:t>
      </w:r>
      <w:r w:rsidR="00AE2792" w:rsidRPr="007A7645">
        <w:rPr>
          <w:rFonts w:ascii="Garamond" w:hAnsi="Garamond" w:cs="Times New Roman"/>
          <w:b/>
          <w:bCs/>
          <w:lang w:val="en-US"/>
        </w:rPr>
        <w:t>Eric Bloom</w:t>
      </w:r>
      <w:r w:rsidR="007D3A95" w:rsidRPr="007A7645">
        <w:rPr>
          <w:rFonts w:ascii="Garamond" w:hAnsi="Garamond" w:cs="Times New Roman"/>
          <w:lang w:val="en-US"/>
        </w:rPr>
        <w:t xml:space="preserve"> (</w:t>
      </w:r>
      <w:r w:rsidR="00AE2792" w:rsidRPr="007A7645">
        <w:rPr>
          <w:rFonts w:ascii="Garamond" w:hAnsi="Garamond" w:cs="Times New Roman"/>
          <w:lang w:val="en-US"/>
        </w:rPr>
        <w:t>Winston &amp; Strawn LLP</w:t>
      </w:r>
      <w:r w:rsidR="007D3A95" w:rsidRPr="007A7645">
        <w:rPr>
          <w:rFonts w:ascii="Garamond" w:hAnsi="Garamond" w:cs="Times New Roman"/>
          <w:lang w:val="en-US"/>
        </w:rPr>
        <w:t xml:space="preserve">), </w:t>
      </w:r>
      <w:r w:rsidR="00AE2792" w:rsidRPr="007A7645">
        <w:rPr>
          <w:rFonts w:ascii="Garamond" w:hAnsi="Garamond" w:cs="Times New Roman"/>
          <w:b/>
          <w:bCs/>
          <w:lang w:val="en-US"/>
        </w:rPr>
        <w:t>Steven “Cash” Nickerson</w:t>
      </w:r>
      <w:r w:rsidR="007D3A95" w:rsidRPr="007A7645">
        <w:rPr>
          <w:rFonts w:ascii="Garamond" w:hAnsi="Garamond" w:cs="Times New Roman"/>
          <w:lang w:val="en-US"/>
        </w:rPr>
        <w:t xml:space="preserve"> (</w:t>
      </w:r>
      <w:r w:rsidR="00AE2792" w:rsidRPr="007A7645">
        <w:rPr>
          <w:rFonts w:ascii="Garamond" w:hAnsi="Garamond" w:cs="Times New Roman"/>
          <w:lang w:val="en-US"/>
        </w:rPr>
        <w:t>AKKA Technologies</w:t>
      </w:r>
      <w:r w:rsidR="007D3A95" w:rsidRPr="007A7645">
        <w:rPr>
          <w:rFonts w:ascii="Garamond" w:hAnsi="Garamond" w:cs="Times New Roman"/>
          <w:lang w:val="en-US"/>
        </w:rPr>
        <w:t xml:space="preserve">), and </w:t>
      </w:r>
      <w:r w:rsidR="00AE2792" w:rsidRPr="007A7645">
        <w:rPr>
          <w:rFonts w:ascii="Garamond" w:hAnsi="Garamond" w:cs="Times New Roman"/>
          <w:b/>
          <w:bCs/>
          <w:lang w:val="en-US"/>
        </w:rPr>
        <w:t>Ann Ryan Robertson</w:t>
      </w:r>
      <w:r w:rsidR="007D3A95" w:rsidRPr="007A7645">
        <w:rPr>
          <w:rFonts w:ascii="Garamond" w:hAnsi="Garamond" w:cs="Times New Roman"/>
          <w:lang w:val="en-US"/>
        </w:rPr>
        <w:t xml:space="preserve"> (</w:t>
      </w:r>
      <w:r w:rsidR="00AE2792" w:rsidRPr="007A7645">
        <w:rPr>
          <w:rFonts w:ascii="Garamond" w:hAnsi="Garamond" w:cs="Times New Roman"/>
          <w:lang w:val="en-US"/>
        </w:rPr>
        <w:t>Locke Lord LL</w:t>
      </w:r>
      <w:r w:rsidR="007D3A95" w:rsidRPr="007A7645">
        <w:rPr>
          <w:rFonts w:ascii="Garamond" w:hAnsi="Garamond" w:cs="Times New Roman"/>
          <w:lang w:val="en-US"/>
        </w:rPr>
        <w:t>P).</w:t>
      </w:r>
      <w:r w:rsidR="00DD60AF" w:rsidRPr="007A7645">
        <w:rPr>
          <w:rFonts w:ascii="Garamond" w:hAnsi="Garamond" w:cs="Times New Roman"/>
          <w:lang w:val="en-US"/>
        </w:rPr>
        <w:t xml:space="preserve"> This practical exercise exposed the complex problems facing counsel and judges in enforcing contradictory clauses within an arbitration agreement and offered useful recommendations that current and future practitioners can use to avoid similar situations.</w:t>
      </w:r>
    </w:p>
    <w:p w14:paraId="6E89383B" w14:textId="77777777" w:rsidR="00935EF2" w:rsidRDefault="00935EF2" w:rsidP="000311FD">
      <w:pPr>
        <w:spacing w:after="120"/>
        <w:jc w:val="both"/>
        <w:rPr>
          <w:rStyle w:val="Hyperlink"/>
          <w:rFonts w:ascii="Garamond" w:hAnsi="Garamond" w:cs="Times New Roman"/>
          <w:i/>
          <w:lang w:val="en-US"/>
        </w:rPr>
      </w:pPr>
    </w:p>
    <w:p w14:paraId="213F14E4" w14:textId="6FF1F043" w:rsidR="00DF53D9" w:rsidRDefault="000475D0" w:rsidP="000475D0">
      <w:pPr>
        <w:spacing w:after="120"/>
        <w:jc w:val="both"/>
        <w:rPr>
          <w:rFonts w:ascii="Garamond" w:hAnsi="Garamond" w:cs="Times New Roman"/>
          <w:i/>
          <w:lang w:val="en-US"/>
        </w:rPr>
      </w:pPr>
      <w:r w:rsidRPr="000475D0">
        <w:rPr>
          <w:rFonts w:ascii="Garamond" w:hAnsi="Garamond" w:cs="Times New Roman"/>
          <w:i/>
          <w:lang w:val="en-US"/>
        </w:rPr>
        <w:t xml:space="preserve">The 2020 Symposium was chaired by M. Imad Khan (Winston &amp; Strawn, LLP); generously sponsored by the Claro Group, Winston &amp; Strawn LLP, U.S. Arbitration &amp; Mediation, and </w:t>
      </w:r>
      <w:proofErr w:type="spellStart"/>
      <w:r w:rsidRPr="000475D0">
        <w:rPr>
          <w:rFonts w:ascii="Garamond" w:hAnsi="Garamond" w:cs="Times New Roman"/>
          <w:i/>
          <w:lang w:val="en-US"/>
        </w:rPr>
        <w:t>WashULaw’s</w:t>
      </w:r>
      <w:proofErr w:type="spellEnd"/>
      <w:r w:rsidRPr="000475D0">
        <w:rPr>
          <w:rFonts w:ascii="Garamond" w:hAnsi="Garamond" w:cs="Times New Roman"/>
          <w:i/>
          <w:lang w:val="en-US"/>
        </w:rPr>
        <w:t xml:space="preserve"> International Law Society; and supported by Washington University School of Law’s Negotiation &amp; Dispute Resolution Program; the American Arbitration Association and its International Centre for Dispute Resolution; the American Branch of the International Law Association; </w:t>
      </w:r>
      <w:r w:rsidRPr="0081556B">
        <w:rPr>
          <w:rFonts w:ascii="Garamond" w:hAnsi="Garamond" w:cs="Times New Roman"/>
          <w:b/>
          <w:bCs/>
          <w:i/>
          <w:lang w:val="en-US"/>
        </w:rPr>
        <w:t xml:space="preserve">the Chartered Institute of Arbitrators’ North American </w:t>
      </w:r>
      <w:r w:rsidR="001658C4" w:rsidRPr="0081556B">
        <w:rPr>
          <w:rFonts w:ascii="Garamond" w:hAnsi="Garamond" w:cs="Times New Roman"/>
          <w:b/>
          <w:bCs/>
          <w:i/>
          <w:lang w:val="en-US"/>
        </w:rPr>
        <w:t>Branch</w:t>
      </w:r>
      <w:r w:rsidRPr="0081556B">
        <w:rPr>
          <w:rFonts w:ascii="Garamond" w:hAnsi="Garamond" w:cs="Times New Roman"/>
          <w:b/>
          <w:bCs/>
          <w:i/>
          <w:lang w:val="en-US"/>
        </w:rPr>
        <w:t xml:space="preserve"> and Young Members Group</w:t>
      </w:r>
      <w:r w:rsidRPr="000475D0">
        <w:rPr>
          <w:rFonts w:ascii="Garamond" w:hAnsi="Garamond" w:cs="Times New Roman"/>
          <w:i/>
          <w:lang w:val="en-US"/>
        </w:rPr>
        <w:t xml:space="preserve">; the ICC International Court of Arbitration; the National Academy of Arbitrators; and Young ICSID.  </w:t>
      </w:r>
      <w:bookmarkStart w:id="0" w:name="_GoBack"/>
      <w:bookmarkEnd w:id="0"/>
    </w:p>
    <w:p w14:paraId="0C112036" w14:textId="77777777" w:rsidR="00935EF2" w:rsidRPr="000475D0" w:rsidRDefault="00DF53D9" w:rsidP="000475D0">
      <w:pPr>
        <w:spacing w:after="120"/>
        <w:jc w:val="both"/>
        <w:rPr>
          <w:rFonts w:ascii="Garamond" w:hAnsi="Garamond" w:cs="Times New Roman"/>
          <w:i/>
          <w:lang w:val="en-US"/>
        </w:rPr>
      </w:pPr>
      <w:r>
        <w:rPr>
          <w:rFonts w:ascii="Garamond" w:hAnsi="Garamond" w:cs="Times New Roman"/>
          <w:i/>
          <w:lang w:val="en-US"/>
        </w:rPr>
        <w:t>The</w:t>
      </w:r>
      <w:r w:rsidRPr="00DF53D9">
        <w:rPr>
          <w:rFonts w:ascii="Garamond" w:hAnsi="Garamond" w:cs="Times New Roman"/>
          <w:i/>
          <w:lang w:val="en-US"/>
        </w:rPr>
        <w:t xml:space="preserve"> Symposium advances the development of international arbitration and dispute resolution, educates the next generation of lawyers, and provides key networking opportunities. </w:t>
      </w:r>
      <w:r w:rsidR="00935EF2" w:rsidRPr="000475D0">
        <w:rPr>
          <w:rFonts w:ascii="Garamond" w:hAnsi="Garamond" w:cs="Times New Roman"/>
          <w:i/>
          <w:lang w:val="en-US"/>
        </w:rPr>
        <w:t xml:space="preserve">More information about this and previous Symposiums, including videos, can be found </w:t>
      </w:r>
      <w:hyperlink r:id="rId15" w:history="1">
        <w:r w:rsidR="00935EF2" w:rsidRPr="000475D0">
          <w:rPr>
            <w:rStyle w:val="Hyperlink"/>
            <w:rFonts w:ascii="Garamond" w:hAnsi="Garamond" w:cs="Times New Roman"/>
            <w:i/>
            <w:lang w:val="en-US"/>
          </w:rPr>
          <w:t>online</w:t>
        </w:r>
      </w:hyperlink>
      <w:r w:rsidR="00935EF2" w:rsidRPr="000475D0">
        <w:rPr>
          <w:rFonts w:ascii="Garamond" w:hAnsi="Garamond" w:cs="Times New Roman"/>
          <w:i/>
          <w:lang w:val="en-US"/>
        </w:rPr>
        <w:t xml:space="preserve">. </w:t>
      </w:r>
    </w:p>
    <w:p w14:paraId="080D5FA2" w14:textId="77777777" w:rsidR="00D54F4A" w:rsidRPr="007A7645" w:rsidRDefault="00D54F4A" w:rsidP="00F62F7E">
      <w:pPr>
        <w:spacing w:after="120"/>
        <w:rPr>
          <w:rFonts w:ascii="Garamond" w:hAnsi="Garamond" w:cs="Times New Roman"/>
          <w:lang w:val="en-US"/>
        </w:rPr>
      </w:pPr>
    </w:p>
    <w:sectPr w:rsidR="00D54F4A" w:rsidRPr="007A7645" w:rsidSect="0011708F">
      <w:footerReference w:type="default" r:id="rId16"/>
      <w:pgSz w:w="12240" w:h="15840" w:code="1"/>
      <w:pgMar w:top="1152"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D91FC" w14:textId="77777777" w:rsidR="00102E93" w:rsidRDefault="00102E93" w:rsidP="00DE77D1">
      <w:r>
        <w:separator/>
      </w:r>
    </w:p>
  </w:endnote>
  <w:endnote w:type="continuationSeparator" w:id="0">
    <w:p w14:paraId="6D44BF6F" w14:textId="77777777" w:rsidR="00102E93" w:rsidRDefault="00102E93" w:rsidP="00DE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F6DF" w14:textId="77777777" w:rsidR="002A755C" w:rsidRPr="002A755C" w:rsidRDefault="002A755C" w:rsidP="002A755C">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4F785" w14:textId="77777777" w:rsidR="00102E93" w:rsidRDefault="00102E93" w:rsidP="00DE77D1">
      <w:r>
        <w:separator/>
      </w:r>
    </w:p>
  </w:footnote>
  <w:footnote w:type="continuationSeparator" w:id="0">
    <w:p w14:paraId="39AAE5C4" w14:textId="77777777" w:rsidR="00102E93" w:rsidRDefault="00102E93" w:rsidP="00DE77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792"/>
    <w:rsid w:val="000108A9"/>
    <w:rsid w:val="000311FD"/>
    <w:rsid w:val="000475D0"/>
    <w:rsid w:val="000678FD"/>
    <w:rsid w:val="00067FE6"/>
    <w:rsid w:val="000D564A"/>
    <w:rsid w:val="00102E93"/>
    <w:rsid w:val="0011708F"/>
    <w:rsid w:val="00141C12"/>
    <w:rsid w:val="001637B2"/>
    <w:rsid w:val="001658C4"/>
    <w:rsid w:val="001B2F3F"/>
    <w:rsid w:val="00200516"/>
    <w:rsid w:val="002A755C"/>
    <w:rsid w:val="002E1A7F"/>
    <w:rsid w:val="00372E8C"/>
    <w:rsid w:val="003E307B"/>
    <w:rsid w:val="004244D5"/>
    <w:rsid w:val="004577AD"/>
    <w:rsid w:val="004A02EF"/>
    <w:rsid w:val="004C017E"/>
    <w:rsid w:val="00546D6B"/>
    <w:rsid w:val="0056171A"/>
    <w:rsid w:val="00675043"/>
    <w:rsid w:val="006B237D"/>
    <w:rsid w:val="006D32D1"/>
    <w:rsid w:val="00772D9F"/>
    <w:rsid w:val="007832E6"/>
    <w:rsid w:val="007A6D03"/>
    <w:rsid w:val="007A7645"/>
    <w:rsid w:val="007D3A95"/>
    <w:rsid w:val="00801ED5"/>
    <w:rsid w:val="0081556B"/>
    <w:rsid w:val="00890FFD"/>
    <w:rsid w:val="00935EF2"/>
    <w:rsid w:val="009506AA"/>
    <w:rsid w:val="009574DB"/>
    <w:rsid w:val="009A3647"/>
    <w:rsid w:val="00A36890"/>
    <w:rsid w:val="00AE2792"/>
    <w:rsid w:val="00B6385D"/>
    <w:rsid w:val="00BE2823"/>
    <w:rsid w:val="00D54F4A"/>
    <w:rsid w:val="00DC0F3E"/>
    <w:rsid w:val="00DD60AF"/>
    <w:rsid w:val="00DE77D1"/>
    <w:rsid w:val="00DF53D9"/>
    <w:rsid w:val="00E27BAC"/>
    <w:rsid w:val="00E51F9B"/>
    <w:rsid w:val="00EA6681"/>
    <w:rsid w:val="00EE182E"/>
    <w:rsid w:val="00F1345F"/>
    <w:rsid w:val="00F62F7E"/>
    <w:rsid w:val="00FF49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5C7C"/>
  <w15:chartTrackingRefBased/>
  <w15:docId w15:val="{EE7F98AA-8C15-C544-9FAA-FF272F42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27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792"/>
    <w:rPr>
      <w:color w:val="0563C1" w:themeColor="hyperlink"/>
      <w:u w:val="single"/>
    </w:rPr>
  </w:style>
  <w:style w:type="character" w:customStyle="1" w:styleId="Mentionnonrsolue1">
    <w:name w:val="Mention non résolue1"/>
    <w:basedOn w:val="DefaultParagraphFont"/>
    <w:uiPriority w:val="99"/>
    <w:semiHidden/>
    <w:unhideWhenUsed/>
    <w:rsid w:val="00AE2792"/>
    <w:rPr>
      <w:color w:val="605E5C"/>
      <w:shd w:val="clear" w:color="auto" w:fill="E1DFDD"/>
    </w:rPr>
  </w:style>
  <w:style w:type="character" w:styleId="FollowedHyperlink">
    <w:name w:val="FollowedHyperlink"/>
    <w:basedOn w:val="DefaultParagraphFont"/>
    <w:uiPriority w:val="99"/>
    <w:semiHidden/>
    <w:unhideWhenUsed/>
    <w:rsid w:val="00AE2792"/>
    <w:rPr>
      <w:color w:val="954F72" w:themeColor="followedHyperlink"/>
      <w:u w:val="single"/>
    </w:rPr>
  </w:style>
  <w:style w:type="paragraph" w:styleId="Header">
    <w:name w:val="header"/>
    <w:basedOn w:val="Normal"/>
    <w:link w:val="HeaderChar"/>
    <w:uiPriority w:val="99"/>
    <w:unhideWhenUsed/>
    <w:rsid w:val="00DE77D1"/>
    <w:pPr>
      <w:tabs>
        <w:tab w:val="center" w:pos="4536"/>
        <w:tab w:val="right" w:pos="9072"/>
      </w:tabs>
    </w:pPr>
  </w:style>
  <w:style w:type="character" w:customStyle="1" w:styleId="HeaderChar">
    <w:name w:val="Header Char"/>
    <w:basedOn w:val="DefaultParagraphFont"/>
    <w:link w:val="Header"/>
    <w:uiPriority w:val="99"/>
    <w:rsid w:val="00DE77D1"/>
  </w:style>
  <w:style w:type="paragraph" w:styleId="Footer">
    <w:name w:val="footer"/>
    <w:basedOn w:val="Normal"/>
    <w:link w:val="FooterChar"/>
    <w:uiPriority w:val="99"/>
    <w:unhideWhenUsed/>
    <w:rsid w:val="00DE77D1"/>
    <w:pPr>
      <w:tabs>
        <w:tab w:val="center" w:pos="4536"/>
        <w:tab w:val="right" w:pos="9072"/>
      </w:tabs>
    </w:pPr>
  </w:style>
  <w:style w:type="character" w:customStyle="1" w:styleId="FooterChar">
    <w:name w:val="Footer Char"/>
    <w:basedOn w:val="DefaultParagraphFont"/>
    <w:link w:val="Footer"/>
    <w:uiPriority w:val="99"/>
    <w:rsid w:val="00DE7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88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wustl.edu/faculty-and-research/whitney-r-harris-world-law-institute/iadr-symposiu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law.wustl.edu/faculty-and-research/whitney-r-harris-world-law-institute/iadr-symposiu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7gxsl10eqdj9anba1k3swtoo-wpengine.netdna-ssl.com/wp-content/uploads/2020/02/2020-International-Arbitration-Dispute-Resolution-Symposium-Public-Agenda.pdf"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C0E78-0166-4DFD-A9FC-80AF639F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1027</Words>
  <Characters>5858</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Patterson, Tina</cp:lastModifiedBy>
  <cp:revision>10</cp:revision>
  <dcterms:created xsi:type="dcterms:W3CDTF">2020-04-09T13:03:00Z</dcterms:created>
  <dcterms:modified xsi:type="dcterms:W3CDTF">2020-04-17T16:58:00Z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